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52AA5">
      <w:pPr>
        <w:jc w:val="center"/>
        <w:rPr>
          <w:rFonts w:hint="eastAsia" w:ascii="宋体" w:hAnsi="宋体" w:eastAsia="宋体" w:cs="宋体"/>
          <w:b/>
          <w:bCs/>
          <w:spacing w:val="-1"/>
          <w:sz w:val="44"/>
          <w:szCs w:val="44"/>
          <w:lang w:val="en-US" w:eastAsia="zh-CN"/>
        </w:rPr>
      </w:pPr>
      <w:r>
        <w:rPr>
          <w:rFonts w:hint="eastAsia" w:ascii="宋体" w:hAnsi="宋体" w:eastAsia="宋体" w:cs="宋体"/>
          <w:b/>
          <w:bCs/>
          <w:spacing w:val="-1"/>
          <w:sz w:val="44"/>
          <w:szCs w:val="44"/>
          <w:lang w:val="en-US" w:eastAsia="zh-CN"/>
        </w:rPr>
        <w:t>北京维康慈善基金会</w:t>
      </w:r>
    </w:p>
    <w:p w14:paraId="2B59300C">
      <w:pPr>
        <w:jc w:val="center"/>
        <w:rPr>
          <w:rFonts w:hint="eastAsia" w:ascii="宋体" w:hAnsi="宋体" w:eastAsia="宋体" w:cs="宋体"/>
          <w:b/>
          <w:bCs/>
          <w:spacing w:val="-1"/>
          <w:sz w:val="44"/>
          <w:szCs w:val="44"/>
          <w:lang w:val="en-US" w:eastAsia="zh-CN"/>
        </w:rPr>
      </w:pPr>
      <w:r>
        <w:rPr>
          <w:rFonts w:hint="eastAsia" w:ascii="宋体" w:hAnsi="宋体" w:eastAsia="宋体" w:cs="宋体"/>
          <w:b/>
          <w:bCs/>
          <w:spacing w:val="-1"/>
          <w:sz w:val="44"/>
          <w:szCs w:val="44"/>
          <w:lang w:val="en-US" w:eastAsia="zh-CN"/>
        </w:rPr>
        <w:t>资产管理制度</w:t>
      </w:r>
    </w:p>
    <w:p w14:paraId="2E7CD706">
      <w:pPr>
        <w:jc w:val="both"/>
        <w:rPr>
          <w:rFonts w:hint="eastAsia" w:ascii="宋体" w:hAnsi="宋体" w:eastAsia="宋体" w:cs="宋体"/>
          <w:b/>
          <w:bCs/>
          <w:spacing w:val="-1"/>
          <w:sz w:val="32"/>
          <w:szCs w:val="32"/>
          <w:lang w:val="en-US" w:eastAsia="zh-CN"/>
        </w:rPr>
      </w:pPr>
      <w:r>
        <w:rPr>
          <w:rFonts w:hint="eastAsia" w:ascii="宋体" w:hAnsi="宋体" w:eastAsia="宋体" w:cs="宋体"/>
          <w:b/>
          <w:bCs/>
          <w:spacing w:val="-1"/>
          <w:sz w:val="32"/>
          <w:szCs w:val="32"/>
          <w:lang w:val="en-US" w:eastAsia="zh-CN"/>
        </w:rPr>
        <w:t>一、实物资产管理</w:t>
      </w:r>
    </w:p>
    <w:p w14:paraId="74A86388">
      <w:pPr>
        <w:keepNext w:val="0"/>
        <w:keepLines w:val="0"/>
        <w:pageBreakBefore w:val="0"/>
        <w:widowControl/>
        <w:kinsoku w:val="0"/>
        <w:wordWrap/>
        <w:overflowPunct/>
        <w:topLinePunct w:val="0"/>
        <w:autoSpaceDE w:val="0"/>
        <w:autoSpaceDN w:val="0"/>
        <w:bidi w:val="0"/>
        <w:adjustRightInd w:val="0"/>
        <w:snapToGrid w:val="0"/>
        <w:spacing w:before="87" w:line="560" w:lineRule="exact"/>
        <w:ind w:left="3863"/>
        <w:textAlignment w:val="baseline"/>
        <w:rPr>
          <w:rFonts w:hint="eastAsia" w:ascii="宋体" w:hAnsi="宋体" w:eastAsia="宋体" w:cs="宋体"/>
          <w:sz w:val="28"/>
          <w:szCs w:val="28"/>
        </w:rPr>
      </w:pPr>
      <w:r>
        <w:rPr>
          <w:rFonts w:hint="eastAsia" w:ascii="宋体" w:hAnsi="宋体" w:eastAsia="宋体" w:cs="宋体"/>
          <w:b/>
          <w:bCs/>
          <w:spacing w:val="-4"/>
          <w:sz w:val="28"/>
          <w:szCs w:val="28"/>
        </w:rPr>
        <w:t>第一章</w:t>
      </w:r>
      <w:r>
        <w:rPr>
          <w:rFonts w:hint="eastAsia" w:ascii="宋体" w:hAnsi="宋体" w:eastAsia="宋体" w:cs="宋体"/>
          <w:spacing w:val="1"/>
          <w:sz w:val="28"/>
          <w:szCs w:val="28"/>
        </w:rPr>
        <w:t xml:space="preserve">  </w:t>
      </w:r>
      <w:r>
        <w:rPr>
          <w:rFonts w:hint="eastAsia" w:ascii="宋体" w:hAnsi="宋体" w:eastAsia="宋体" w:cs="宋体"/>
          <w:b/>
          <w:bCs/>
          <w:spacing w:val="-4"/>
          <w:sz w:val="28"/>
          <w:szCs w:val="28"/>
        </w:rPr>
        <w:t>总则</w:t>
      </w:r>
    </w:p>
    <w:p w14:paraId="4AE659FB">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3" w:firstLine="593" w:firstLineChars="200"/>
        <w:textAlignment w:val="baseline"/>
        <w:rPr>
          <w:rFonts w:hint="eastAsia" w:ascii="宋体" w:hAnsi="宋体" w:eastAsia="宋体" w:cs="宋体"/>
          <w:b w:val="0"/>
          <w:bCs w:val="0"/>
          <w:spacing w:val="8"/>
          <w:position w:val="17"/>
          <w:sz w:val="28"/>
          <w:szCs w:val="28"/>
        </w:rPr>
      </w:pPr>
      <w:r>
        <w:rPr>
          <w:rFonts w:hint="eastAsia" w:ascii="宋体" w:hAnsi="宋体" w:eastAsia="宋体" w:cs="宋体"/>
          <w:b/>
          <w:bCs/>
          <w:spacing w:val="8"/>
          <w:position w:val="17"/>
          <w:sz w:val="28"/>
          <w:szCs w:val="28"/>
        </w:rPr>
        <w:t xml:space="preserve">第一条 </w:t>
      </w:r>
      <w:r>
        <w:rPr>
          <w:rFonts w:hint="eastAsia" w:ascii="宋体" w:hAnsi="宋体" w:eastAsia="宋体" w:cs="宋体"/>
          <w:b w:val="0"/>
          <w:bCs w:val="0"/>
          <w:spacing w:val="8"/>
          <w:position w:val="17"/>
          <w:sz w:val="28"/>
          <w:szCs w:val="28"/>
        </w:rPr>
        <w:t>为保证</w:t>
      </w:r>
      <w:r>
        <w:rPr>
          <w:rFonts w:hint="eastAsia" w:ascii="宋体" w:hAnsi="宋体" w:eastAsia="宋体" w:cs="宋体"/>
          <w:b w:val="0"/>
          <w:bCs w:val="0"/>
          <w:spacing w:val="8"/>
          <w:position w:val="17"/>
          <w:sz w:val="28"/>
          <w:szCs w:val="28"/>
          <w:lang w:eastAsia="zh-CN"/>
        </w:rPr>
        <w:t>北京维康慈善基金会</w:t>
      </w:r>
      <w:r>
        <w:rPr>
          <w:rFonts w:hint="eastAsia" w:ascii="宋体" w:hAnsi="宋体" w:eastAsia="宋体" w:cs="宋体"/>
          <w:b w:val="0"/>
          <w:bCs w:val="0"/>
          <w:spacing w:val="8"/>
          <w:position w:val="17"/>
          <w:sz w:val="28"/>
          <w:szCs w:val="28"/>
        </w:rPr>
        <w:t>（以下简称“</w:t>
      </w:r>
      <w:r>
        <w:rPr>
          <w:rFonts w:hint="eastAsia" w:ascii="宋体" w:hAnsi="宋体" w:eastAsia="宋体" w:cs="宋体"/>
          <w:b w:val="0"/>
          <w:bCs w:val="0"/>
          <w:spacing w:val="8"/>
          <w:position w:val="17"/>
          <w:sz w:val="28"/>
          <w:szCs w:val="28"/>
          <w:lang w:val="en-US" w:eastAsia="zh-CN"/>
        </w:rPr>
        <w:t>基金会</w:t>
      </w:r>
      <w:r>
        <w:rPr>
          <w:rFonts w:hint="eastAsia" w:ascii="宋体" w:hAnsi="宋体" w:eastAsia="宋体" w:cs="宋体"/>
          <w:b w:val="0"/>
          <w:bCs w:val="0"/>
          <w:spacing w:val="8"/>
          <w:position w:val="17"/>
          <w:sz w:val="28"/>
          <w:szCs w:val="28"/>
        </w:rPr>
        <w:t>”）实物资产安全，提高资产使用效率，根据《基金会管理条例》《民间非营利组织会计制度》等有关法律法规，制定本</w:t>
      </w:r>
      <w:r>
        <w:rPr>
          <w:rFonts w:hint="eastAsia" w:ascii="宋体" w:hAnsi="宋体" w:eastAsia="宋体" w:cs="宋体"/>
          <w:b w:val="0"/>
          <w:bCs w:val="0"/>
          <w:spacing w:val="8"/>
          <w:position w:val="17"/>
          <w:sz w:val="28"/>
          <w:szCs w:val="28"/>
          <w:lang w:val="en-US" w:eastAsia="zh-CN"/>
        </w:rPr>
        <w:t>规范</w:t>
      </w:r>
      <w:r>
        <w:rPr>
          <w:rFonts w:hint="eastAsia" w:ascii="宋体" w:hAnsi="宋体" w:eastAsia="宋体" w:cs="宋体"/>
          <w:b w:val="0"/>
          <w:bCs w:val="0"/>
          <w:spacing w:val="8"/>
          <w:position w:val="17"/>
          <w:sz w:val="28"/>
          <w:szCs w:val="28"/>
        </w:rPr>
        <w:t>。</w:t>
      </w:r>
    </w:p>
    <w:p w14:paraId="4DBB1446">
      <w:pPr>
        <w:keepNext w:val="0"/>
        <w:keepLines w:val="0"/>
        <w:pageBreakBefore w:val="0"/>
        <w:widowControl/>
        <w:kinsoku w:val="0"/>
        <w:wordWrap/>
        <w:overflowPunct/>
        <w:topLinePunct w:val="0"/>
        <w:autoSpaceDE w:val="0"/>
        <w:autoSpaceDN w:val="0"/>
        <w:bidi w:val="0"/>
        <w:adjustRightInd w:val="0"/>
        <w:snapToGrid w:val="0"/>
        <w:spacing w:before="1" w:line="560" w:lineRule="exact"/>
        <w:ind w:left="3203"/>
        <w:textAlignment w:val="baseline"/>
        <w:rPr>
          <w:rFonts w:hint="eastAsia" w:ascii="宋体" w:hAnsi="宋体" w:eastAsia="宋体" w:cs="宋体"/>
          <w:b/>
          <w:bCs/>
          <w:sz w:val="28"/>
          <w:szCs w:val="28"/>
        </w:rPr>
      </w:pPr>
      <w:r>
        <w:rPr>
          <w:rFonts w:hint="eastAsia" w:ascii="宋体" w:hAnsi="宋体" w:eastAsia="宋体" w:cs="宋体"/>
          <w:b/>
          <w:bCs/>
          <w:spacing w:val="-8"/>
          <w:sz w:val="28"/>
          <w:szCs w:val="28"/>
        </w:rPr>
        <w:t>第二章</w:t>
      </w:r>
      <w:r>
        <w:rPr>
          <w:rFonts w:hint="eastAsia" w:ascii="宋体" w:hAnsi="宋体" w:eastAsia="宋体" w:cs="宋体"/>
          <w:spacing w:val="14"/>
          <w:sz w:val="28"/>
          <w:szCs w:val="28"/>
        </w:rPr>
        <w:t xml:space="preserve">  </w:t>
      </w:r>
      <w:r>
        <w:rPr>
          <w:rFonts w:hint="eastAsia" w:ascii="宋体" w:hAnsi="宋体" w:eastAsia="宋体" w:cs="宋体"/>
          <w:b/>
          <w:bCs/>
          <w:spacing w:val="14"/>
          <w:sz w:val="28"/>
          <w:szCs w:val="28"/>
          <w:lang w:val="en-US" w:eastAsia="zh-CN"/>
        </w:rPr>
        <w:t>低值易耗品</w:t>
      </w:r>
      <w:r>
        <w:rPr>
          <w:rFonts w:hint="eastAsia" w:ascii="宋体" w:hAnsi="宋体" w:eastAsia="宋体" w:cs="宋体"/>
          <w:b/>
          <w:bCs/>
          <w:spacing w:val="14"/>
          <w:sz w:val="28"/>
          <w:szCs w:val="28"/>
        </w:rPr>
        <w:t>管理</w:t>
      </w:r>
    </w:p>
    <w:p w14:paraId="049990B9">
      <w:pPr>
        <w:keepNext w:val="0"/>
        <w:keepLines w:val="0"/>
        <w:pageBreakBefore w:val="0"/>
        <w:widowControl/>
        <w:kinsoku w:val="0"/>
        <w:wordWrap/>
        <w:overflowPunct/>
        <w:topLinePunct w:val="0"/>
        <w:autoSpaceDE w:val="0"/>
        <w:autoSpaceDN w:val="0"/>
        <w:bidi w:val="0"/>
        <w:adjustRightInd w:val="0"/>
        <w:snapToGrid w:val="0"/>
        <w:spacing w:before="188" w:line="560" w:lineRule="exact"/>
        <w:ind w:firstLine="585" w:firstLineChars="200"/>
        <w:textAlignment w:val="baseline"/>
        <w:rPr>
          <w:rFonts w:hint="eastAsia" w:ascii="宋体" w:hAnsi="宋体" w:eastAsia="宋体" w:cs="宋体"/>
          <w:spacing w:val="6"/>
          <w:sz w:val="28"/>
          <w:szCs w:val="28"/>
        </w:rPr>
      </w:pPr>
      <w:r>
        <w:rPr>
          <w:rFonts w:hint="eastAsia" w:ascii="宋体" w:hAnsi="宋体" w:eastAsia="宋体" w:cs="宋体"/>
          <w:b/>
          <w:bCs/>
          <w:spacing w:val="6"/>
          <w:sz w:val="28"/>
          <w:szCs w:val="28"/>
        </w:rPr>
        <w:t>第二条</w:t>
      </w:r>
      <w:r>
        <w:rPr>
          <w:rFonts w:hint="eastAsia" w:ascii="宋体" w:hAnsi="宋体" w:eastAsia="宋体" w:cs="宋体"/>
          <w:spacing w:val="6"/>
          <w:sz w:val="28"/>
          <w:szCs w:val="28"/>
        </w:rPr>
        <w:t xml:space="preserve"> 低值易耗品购入，项目需要低值易耗品应纳入项目预算，按预算进行审批和实施。项目以外购置低值易耗品，应由使用部门或使用人事先编制购置计划，</w:t>
      </w:r>
      <w:r>
        <w:rPr>
          <w:rFonts w:hint="eastAsia" w:ascii="宋体" w:hAnsi="宋体" w:eastAsia="宋体" w:cs="宋体"/>
          <w:spacing w:val="6"/>
          <w:sz w:val="28"/>
          <w:szCs w:val="28"/>
          <w:lang w:eastAsia="zh-CN"/>
        </w:rPr>
        <w:t>计划财务部</w:t>
      </w:r>
      <w:r>
        <w:rPr>
          <w:rFonts w:hint="eastAsia" w:ascii="宋体" w:hAnsi="宋体" w:eastAsia="宋体" w:cs="宋体"/>
          <w:spacing w:val="6"/>
          <w:sz w:val="28"/>
          <w:szCs w:val="28"/>
        </w:rPr>
        <w:t>汇总审核，报秘书长或其授权的副秘书长批准后方可购进。</w:t>
      </w:r>
    </w:p>
    <w:p w14:paraId="300371F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（一）凡单位价值在100元以上2000元以下的物品，使用年限一年以下的，均按低值易耗品核算及管理。</w:t>
      </w:r>
    </w:p>
    <w:p w14:paraId="16BC6C0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（二）低值易耗品使用，要建立实物负责制度，由专人（或兼职人员）负责管理实物，建立实物保管账。明确使用部门及责任人。因使用不当造成低值易耗品丢失、毁损应由责任人负责赔偿。</w:t>
      </w:r>
    </w:p>
    <w:p w14:paraId="519B78E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（三）丢失、毁损低值易耗品要由实物负责人填具报告单，</w:t>
      </w:r>
      <w:r>
        <w:rPr>
          <w:rFonts w:hint="eastAsia" w:ascii="宋体" w:hAnsi="宋体" w:eastAsia="宋体" w:cs="宋体"/>
          <w:sz w:val="28"/>
          <w:szCs w:val="28"/>
          <w:lang w:eastAsia="zh-CN"/>
        </w:rPr>
        <w:t>计划财务部</w:t>
      </w:r>
      <w:r>
        <w:rPr>
          <w:rFonts w:hint="eastAsia" w:ascii="宋体" w:hAnsi="宋体" w:eastAsia="宋体" w:cs="宋体"/>
          <w:sz w:val="28"/>
          <w:szCs w:val="28"/>
        </w:rPr>
        <w:t>审核经秘书长或其授权的副秘书长审批后，及时注销低值易耗品实物保管账。</w:t>
      </w:r>
    </w:p>
    <w:p w14:paraId="2FBFF66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（四）每年年底要对低值易耗品进行清点盘查，做到账实相符，账账相符。</w:t>
      </w:r>
    </w:p>
    <w:p w14:paraId="5A01361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（五）无账面价值的低值易耗品应建立备查登记簿进行管理。</w:t>
      </w:r>
    </w:p>
    <w:p w14:paraId="63AE0895">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baseline"/>
        <w:rPr>
          <w:rFonts w:hint="eastAsia" w:ascii="宋体" w:hAnsi="宋体" w:eastAsia="宋体" w:cs="宋体"/>
          <w:sz w:val="28"/>
          <w:szCs w:val="28"/>
        </w:rPr>
      </w:pPr>
      <w:r>
        <w:rPr>
          <w:rFonts w:hint="eastAsia" w:ascii="宋体" w:hAnsi="宋体" w:eastAsia="宋体" w:cs="宋体"/>
          <w:b/>
          <w:bCs/>
          <w:spacing w:val="-8"/>
          <w:sz w:val="28"/>
          <w:szCs w:val="28"/>
        </w:rPr>
        <w:t>第三章</w:t>
      </w:r>
      <w:r>
        <w:rPr>
          <w:rFonts w:hint="eastAsia" w:ascii="宋体" w:hAnsi="宋体" w:eastAsia="宋体" w:cs="宋体"/>
          <w:spacing w:val="14"/>
          <w:sz w:val="28"/>
          <w:szCs w:val="28"/>
        </w:rPr>
        <w:t xml:space="preserve">  </w:t>
      </w:r>
      <w:r>
        <w:rPr>
          <w:rFonts w:hint="eastAsia" w:ascii="宋体" w:hAnsi="宋体" w:eastAsia="宋体" w:cs="宋体"/>
          <w:b/>
          <w:bCs/>
          <w:spacing w:val="14"/>
          <w:sz w:val="28"/>
          <w:szCs w:val="28"/>
        </w:rPr>
        <w:t>存货管理</w:t>
      </w:r>
    </w:p>
    <w:p w14:paraId="15F8C345">
      <w:pPr>
        <w:keepNext w:val="0"/>
        <w:keepLines w:val="0"/>
        <w:pageBreakBefore w:val="0"/>
        <w:widowControl/>
        <w:kinsoku w:val="0"/>
        <w:wordWrap/>
        <w:overflowPunct/>
        <w:topLinePunct w:val="0"/>
        <w:autoSpaceDE w:val="0"/>
        <w:autoSpaceDN w:val="0"/>
        <w:bidi w:val="0"/>
        <w:adjustRightInd w:val="0"/>
        <w:snapToGrid w:val="0"/>
        <w:spacing w:before="184" w:line="560" w:lineRule="exact"/>
        <w:ind w:firstLine="561" w:firstLineChars="200"/>
        <w:textAlignment w:val="baseline"/>
        <w:rPr>
          <w:rFonts w:hint="eastAsia" w:ascii="宋体" w:hAnsi="宋体" w:eastAsia="宋体" w:cs="宋体"/>
          <w:position w:val="16"/>
          <w:sz w:val="28"/>
          <w:szCs w:val="28"/>
          <w:u w:val="none" w:color="auto"/>
          <w:lang w:val="en-US" w:eastAsia="zh-CN"/>
        </w:rPr>
      </w:pPr>
      <w:r>
        <w:rPr>
          <w:rFonts w:hint="eastAsia" w:ascii="宋体" w:hAnsi="宋体" w:eastAsia="宋体" w:cs="宋体"/>
          <w:b/>
          <w:bCs/>
          <w:position w:val="16"/>
          <w:sz w:val="28"/>
          <w:szCs w:val="28"/>
          <w:u w:val="none" w:color="auto"/>
        </w:rPr>
        <w:t>第</w:t>
      </w:r>
      <w:r>
        <w:rPr>
          <w:rFonts w:hint="eastAsia" w:ascii="宋体" w:hAnsi="宋体" w:eastAsia="宋体" w:cs="宋体"/>
          <w:b/>
          <w:bCs/>
          <w:position w:val="16"/>
          <w:sz w:val="28"/>
          <w:szCs w:val="28"/>
          <w:u w:val="none" w:color="auto"/>
          <w:lang w:val="en-US" w:eastAsia="zh-CN"/>
        </w:rPr>
        <w:t>三</w:t>
      </w:r>
      <w:r>
        <w:rPr>
          <w:rFonts w:hint="eastAsia" w:ascii="宋体" w:hAnsi="宋体" w:eastAsia="宋体" w:cs="宋体"/>
          <w:b/>
          <w:bCs/>
          <w:position w:val="16"/>
          <w:sz w:val="28"/>
          <w:szCs w:val="28"/>
          <w:u w:val="none" w:color="auto"/>
        </w:rPr>
        <w:t>条</w:t>
      </w:r>
      <w:r>
        <w:rPr>
          <w:rFonts w:hint="eastAsia" w:ascii="宋体" w:hAnsi="宋体" w:eastAsia="宋体" w:cs="宋体"/>
          <w:position w:val="16"/>
          <w:sz w:val="28"/>
          <w:szCs w:val="28"/>
          <w:u w:val="none" w:color="auto"/>
        </w:rPr>
        <w:t xml:space="preserve"> 存货</w:t>
      </w:r>
      <w:r>
        <w:rPr>
          <w:rFonts w:hint="eastAsia" w:ascii="宋体" w:hAnsi="宋体" w:eastAsia="宋体" w:cs="宋体"/>
          <w:position w:val="16"/>
          <w:sz w:val="28"/>
          <w:szCs w:val="28"/>
          <w:u w:val="none" w:color="auto"/>
          <w:lang w:val="en-US" w:eastAsia="zh-CN"/>
        </w:rPr>
        <w:t>的范围</w:t>
      </w:r>
    </w:p>
    <w:p w14:paraId="555125B6">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lang w:val="en-US" w:eastAsia="zh-CN"/>
        </w:rPr>
        <w:t>（一）接受捐赠的物资、物品；</w:t>
      </w:r>
    </w:p>
    <w:p w14:paraId="6B7EBCCB">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rPr>
        <w:t>（二）</w:t>
      </w:r>
      <w:r>
        <w:rPr>
          <w:rFonts w:hint="eastAsia" w:ascii="宋体" w:hAnsi="宋体" w:eastAsia="宋体" w:cs="宋体"/>
          <w:b w:val="0"/>
          <w:bCs w:val="0"/>
          <w:spacing w:val="-5"/>
          <w:position w:val="16"/>
          <w:sz w:val="28"/>
          <w:szCs w:val="28"/>
          <w:u w:val="none" w:color="auto"/>
          <w:lang w:val="en-US" w:eastAsia="zh-CN"/>
        </w:rPr>
        <w:t>单位价值未达到固定资产标准的办公家具、办公用品等；</w:t>
      </w:r>
    </w:p>
    <w:p w14:paraId="1EB32AC3">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rPr>
        <w:t>（三）</w:t>
      </w:r>
      <w:r>
        <w:rPr>
          <w:rFonts w:hint="eastAsia" w:ascii="宋体" w:hAnsi="宋体" w:eastAsia="宋体" w:cs="宋体"/>
          <w:b w:val="0"/>
          <w:bCs w:val="0"/>
          <w:spacing w:val="-5"/>
          <w:position w:val="16"/>
          <w:sz w:val="28"/>
          <w:szCs w:val="28"/>
          <w:u w:val="none" w:color="auto"/>
          <w:lang w:val="en-US" w:eastAsia="zh-CN"/>
        </w:rPr>
        <w:t>使用年限可能在一年以上，单位价值在2000以下，随时使用或在使用过程中容易发生损坏的资产；</w:t>
      </w:r>
    </w:p>
    <w:p w14:paraId="45179AFC">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rPr>
      </w:pPr>
      <w:r>
        <w:rPr>
          <w:rFonts w:hint="eastAsia" w:ascii="宋体" w:hAnsi="宋体" w:eastAsia="宋体" w:cs="宋体"/>
          <w:b w:val="0"/>
          <w:bCs w:val="0"/>
          <w:spacing w:val="-5"/>
          <w:position w:val="16"/>
          <w:sz w:val="28"/>
          <w:szCs w:val="28"/>
          <w:u w:val="none" w:color="auto"/>
        </w:rPr>
        <w:t>（四）</w:t>
      </w:r>
      <w:r>
        <w:rPr>
          <w:rFonts w:hint="eastAsia" w:ascii="宋体" w:hAnsi="宋体" w:eastAsia="宋体" w:cs="宋体"/>
          <w:b w:val="0"/>
          <w:bCs w:val="0"/>
          <w:spacing w:val="-5"/>
          <w:position w:val="16"/>
          <w:sz w:val="28"/>
          <w:szCs w:val="28"/>
          <w:u w:val="none" w:color="auto"/>
          <w:lang w:val="en-US" w:eastAsia="zh-CN"/>
        </w:rPr>
        <w:t>其他存货资产。</w:t>
      </w:r>
    </w:p>
    <w:p w14:paraId="1E7A66BB">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1"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bCs/>
          <w:spacing w:val="-5"/>
          <w:position w:val="16"/>
          <w:sz w:val="28"/>
          <w:szCs w:val="28"/>
          <w:u w:val="none" w:color="auto"/>
        </w:rPr>
        <w:t>第</w:t>
      </w:r>
      <w:r>
        <w:rPr>
          <w:rFonts w:hint="eastAsia" w:ascii="宋体" w:hAnsi="宋体" w:eastAsia="宋体" w:cs="宋体"/>
          <w:b/>
          <w:bCs/>
          <w:spacing w:val="-5"/>
          <w:position w:val="16"/>
          <w:sz w:val="28"/>
          <w:szCs w:val="28"/>
          <w:u w:val="none" w:color="auto"/>
          <w:lang w:val="en-US" w:eastAsia="zh-CN"/>
        </w:rPr>
        <w:t>四</w:t>
      </w:r>
      <w:r>
        <w:rPr>
          <w:rFonts w:hint="eastAsia" w:ascii="宋体" w:hAnsi="宋体" w:eastAsia="宋体" w:cs="宋体"/>
          <w:b/>
          <w:bCs/>
          <w:spacing w:val="-5"/>
          <w:position w:val="16"/>
          <w:sz w:val="28"/>
          <w:szCs w:val="28"/>
          <w:u w:val="none" w:color="auto"/>
        </w:rPr>
        <w:t xml:space="preserve">条 </w:t>
      </w:r>
      <w:r>
        <w:rPr>
          <w:rFonts w:hint="eastAsia" w:ascii="宋体" w:hAnsi="宋体" w:eastAsia="宋体" w:cs="宋体"/>
          <w:b w:val="0"/>
          <w:bCs w:val="0"/>
          <w:spacing w:val="-5"/>
          <w:position w:val="16"/>
          <w:sz w:val="28"/>
          <w:szCs w:val="28"/>
          <w:u w:val="none" w:color="auto"/>
        </w:rPr>
        <w:t>存货</w:t>
      </w:r>
      <w:r>
        <w:rPr>
          <w:rFonts w:hint="eastAsia" w:ascii="宋体" w:hAnsi="宋体" w:eastAsia="宋体" w:cs="宋体"/>
          <w:b w:val="0"/>
          <w:bCs w:val="0"/>
          <w:spacing w:val="-5"/>
          <w:position w:val="16"/>
          <w:sz w:val="28"/>
          <w:szCs w:val="28"/>
          <w:u w:val="none" w:color="auto"/>
          <w:lang w:val="en-US" w:eastAsia="zh-CN"/>
        </w:rPr>
        <w:t>的计价</w:t>
      </w:r>
    </w:p>
    <w:p w14:paraId="04FE6B77">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lang w:val="en-US" w:eastAsia="zh-CN"/>
        </w:rPr>
        <w:t>（一）购入的存货按应当以其实际成本入账。存货成本包括采购成本、加工成本和其他成本。其中，采购成本一般包括实际支付的采购价款、相关税费、运输费、装卸费、保险费以及其他可直接归属于存货采购的费用。</w:t>
      </w:r>
    </w:p>
    <w:p w14:paraId="4C6A1B6C">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lang w:val="en-US" w:eastAsia="zh-CN"/>
        </w:rPr>
        <w:t>（二）接收捐赠和无偿调入的存货，按照同类存货的市场价格或者有关凭证记账，接受捐赠时发生的相关费用应计入管理费用或业务活动成本。</w:t>
      </w:r>
    </w:p>
    <w:p w14:paraId="27D233E2">
      <w:pPr>
        <w:keepNext w:val="0"/>
        <w:keepLines w:val="0"/>
        <w:pageBreakBefore w:val="0"/>
        <w:widowControl/>
        <w:kinsoku w:val="0"/>
        <w:wordWrap/>
        <w:overflowPunct/>
        <w:topLinePunct w:val="0"/>
        <w:autoSpaceDE w:val="0"/>
        <w:autoSpaceDN w:val="0"/>
        <w:bidi w:val="0"/>
        <w:adjustRightInd w:val="0"/>
        <w:snapToGrid w:val="0"/>
        <w:spacing w:before="218" w:line="560" w:lineRule="exact"/>
        <w:ind w:left="3" w:firstLine="540" w:firstLineChars="200"/>
        <w:textAlignment w:val="baseline"/>
        <w:rPr>
          <w:rFonts w:hint="eastAsia" w:ascii="宋体" w:hAnsi="宋体" w:eastAsia="宋体" w:cs="宋体"/>
          <w:b w:val="0"/>
          <w:bCs w:val="0"/>
          <w:spacing w:val="-5"/>
          <w:position w:val="16"/>
          <w:sz w:val="28"/>
          <w:szCs w:val="28"/>
          <w:u w:val="none" w:color="auto"/>
          <w:lang w:val="en-US" w:eastAsia="zh-CN"/>
        </w:rPr>
      </w:pPr>
      <w:r>
        <w:rPr>
          <w:rFonts w:hint="eastAsia" w:ascii="宋体" w:hAnsi="宋体" w:eastAsia="宋体" w:cs="宋体"/>
          <w:b w:val="0"/>
          <w:bCs w:val="0"/>
          <w:spacing w:val="-5"/>
          <w:position w:val="16"/>
          <w:sz w:val="28"/>
          <w:szCs w:val="28"/>
          <w:u w:val="none" w:color="auto"/>
          <w:lang w:val="en-US" w:eastAsia="zh-CN"/>
        </w:rPr>
        <w:t>（三）接受捐赠的物资存货，不需要摊销，在发生减值迹象时应计提减值准备。</w:t>
      </w:r>
    </w:p>
    <w:p w14:paraId="4616364F">
      <w:pPr>
        <w:keepNext w:val="0"/>
        <w:keepLines w:val="0"/>
        <w:pageBreakBefore w:val="0"/>
        <w:widowControl/>
        <w:kinsoku w:val="0"/>
        <w:wordWrap/>
        <w:overflowPunct/>
        <w:topLinePunct w:val="0"/>
        <w:autoSpaceDE w:val="0"/>
        <w:autoSpaceDN w:val="0"/>
        <w:bidi w:val="0"/>
        <w:adjustRightInd w:val="0"/>
        <w:snapToGrid w:val="0"/>
        <w:spacing w:before="172" w:line="560" w:lineRule="exact"/>
        <w:ind w:right="69" w:rightChars="0" w:firstLine="549" w:firstLineChars="200"/>
        <w:jc w:val="both"/>
        <w:textAlignment w:val="baseline"/>
        <w:rPr>
          <w:rFonts w:hint="eastAsia" w:ascii="宋体" w:hAnsi="宋体" w:eastAsia="宋体" w:cs="宋体"/>
          <w:b w:val="0"/>
          <w:bCs w:val="0"/>
          <w:spacing w:val="-3"/>
          <w:sz w:val="28"/>
          <w:szCs w:val="28"/>
        </w:rPr>
      </w:pPr>
      <w:r>
        <w:rPr>
          <w:rFonts w:hint="eastAsia" w:ascii="宋体" w:hAnsi="宋体" w:eastAsia="宋体" w:cs="宋体"/>
          <w:b/>
          <w:bCs/>
          <w:spacing w:val="-3"/>
          <w:sz w:val="28"/>
          <w:szCs w:val="28"/>
        </w:rPr>
        <w:t xml:space="preserve">第五条 </w:t>
      </w:r>
      <w:r>
        <w:rPr>
          <w:rFonts w:hint="eastAsia" w:ascii="宋体" w:hAnsi="宋体" w:eastAsia="宋体" w:cs="宋体"/>
          <w:b w:val="0"/>
          <w:bCs w:val="0"/>
          <w:spacing w:val="-3"/>
          <w:sz w:val="28"/>
          <w:szCs w:val="28"/>
        </w:rPr>
        <w:t>存货在发出时，应当采用个别计价法确定发出存货的实际成本。</w:t>
      </w:r>
    </w:p>
    <w:p w14:paraId="016E1FEE">
      <w:pPr>
        <w:keepNext w:val="0"/>
        <w:keepLines w:val="0"/>
        <w:pageBreakBefore w:val="0"/>
        <w:widowControl/>
        <w:kinsoku w:val="0"/>
        <w:wordWrap/>
        <w:overflowPunct/>
        <w:topLinePunct w:val="0"/>
        <w:autoSpaceDE w:val="0"/>
        <w:autoSpaceDN w:val="0"/>
        <w:bidi w:val="0"/>
        <w:adjustRightInd w:val="0"/>
        <w:snapToGrid w:val="0"/>
        <w:spacing w:before="172" w:line="560" w:lineRule="exact"/>
        <w:ind w:right="69" w:rightChars="0" w:firstLine="569" w:firstLineChars="200"/>
        <w:jc w:val="both"/>
        <w:textAlignment w:val="baseline"/>
        <w:rPr>
          <w:rFonts w:hint="eastAsia" w:ascii="宋体" w:hAnsi="宋体" w:eastAsia="宋体" w:cs="宋体"/>
          <w:spacing w:val="2"/>
          <w:sz w:val="28"/>
          <w:szCs w:val="28"/>
        </w:rPr>
      </w:pPr>
      <w:r>
        <w:rPr>
          <w:rFonts w:hint="eastAsia" w:ascii="宋体" w:hAnsi="宋体" w:eastAsia="宋体" w:cs="宋体"/>
          <w:b/>
          <w:bCs/>
          <w:spacing w:val="2"/>
          <w:sz w:val="28"/>
          <w:szCs w:val="28"/>
        </w:rPr>
        <w:t>第六条</w:t>
      </w:r>
      <w:r>
        <w:rPr>
          <w:rFonts w:hint="eastAsia" w:ascii="宋体" w:hAnsi="宋体" w:eastAsia="宋体" w:cs="宋体"/>
          <w:spacing w:val="2"/>
          <w:sz w:val="28"/>
          <w:szCs w:val="28"/>
        </w:rPr>
        <w:t xml:space="preserve"> 存货应由专人保管，并定期进行清查盘点，每年至少盘点一次。对于发生的盘盈、盘亏以及变质、毁损等存货，应当及时查明原因，并经秘书长或其授权的副秘书长审批后，在期末结账前处理完毕。对于盘盈的存货，应当按照其公允价值入账，并确认为当期收入；对于盘亏或者毁损的存货，应先扣除残料价值、可以收回的保险赔偿和过失人的赔偿等，将净损失确认为当期费用。</w:t>
      </w:r>
    </w:p>
    <w:p w14:paraId="155391ED">
      <w:pPr>
        <w:keepNext w:val="0"/>
        <w:keepLines w:val="0"/>
        <w:pageBreakBefore w:val="0"/>
        <w:widowControl/>
        <w:kinsoku w:val="0"/>
        <w:wordWrap/>
        <w:overflowPunct/>
        <w:topLinePunct w:val="0"/>
        <w:autoSpaceDE w:val="0"/>
        <w:autoSpaceDN w:val="0"/>
        <w:bidi w:val="0"/>
        <w:adjustRightInd w:val="0"/>
        <w:snapToGrid w:val="0"/>
        <w:spacing w:before="88" w:line="560" w:lineRule="exact"/>
        <w:jc w:val="center"/>
        <w:textAlignment w:val="baseline"/>
        <w:rPr>
          <w:rFonts w:hint="eastAsia" w:ascii="宋体" w:hAnsi="宋体" w:eastAsia="宋体" w:cs="宋体"/>
          <w:b/>
          <w:bCs/>
          <w:spacing w:val="4"/>
          <w:sz w:val="28"/>
          <w:szCs w:val="28"/>
        </w:rPr>
      </w:pPr>
      <w:r>
        <w:rPr>
          <w:rFonts w:hint="eastAsia" w:ascii="宋体" w:hAnsi="宋体" w:eastAsia="宋体" w:cs="宋体"/>
          <w:b/>
          <w:bCs/>
          <w:spacing w:val="4"/>
          <w:sz w:val="28"/>
          <w:szCs w:val="28"/>
        </w:rPr>
        <w:t>第四章</w:t>
      </w:r>
      <w:r>
        <w:rPr>
          <w:rFonts w:hint="eastAsia" w:ascii="宋体" w:hAnsi="宋体" w:eastAsia="宋体" w:cs="宋体"/>
          <w:b/>
          <w:bCs/>
          <w:spacing w:val="4"/>
          <w:sz w:val="28"/>
          <w:szCs w:val="28"/>
          <w:lang w:val="en-US" w:eastAsia="zh-CN"/>
        </w:rPr>
        <w:t xml:space="preserve">  </w:t>
      </w:r>
      <w:r>
        <w:rPr>
          <w:rFonts w:hint="eastAsia" w:ascii="宋体" w:hAnsi="宋体" w:eastAsia="宋体" w:cs="宋体"/>
          <w:b/>
          <w:bCs/>
          <w:spacing w:val="4"/>
          <w:sz w:val="28"/>
          <w:szCs w:val="28"/>
        </w:rPr>
        <w:t>固定资产管理</w:t>
      </w:r>
    </w:p>
    <w:p w14:paraId="6DBB31EE">
      <w:pPr>
        <w:keepNext w:val="0"/>
        <w:keepLines w:val="0"/>
        <w:pageBreakBefore w:val="0"/>
        <w:widowControl/>
        <w:kinsoku w:val="0"/>
        <w:wordWrap/>
        <w:overflowPunct/>
        <w:topLinePunct w:val="0"/>
        <w:autoSpaceDE w:val="0"/>
        <w:autoSpaceDN w:val="0"/>
        <w:bidi w:val="0"/>
        <w:adjustRightInd w:val="0"/>
        <w:snapToGrid w:val="0"/>
        <w:spacing w:before="172" w:line="560" w:lineRule="exact"/>
        <w:ind w:left="490" w:right="69" w:rightChars="0" w:hanging="569" w:hangingChars="200"/>
        <w:jc w:val="both"/>
        <w:textAlignment w:val="baseline"/>
        <w:rPr>
          <w:rFonts w:hint="eastAsia" w:ascii="宋体" w:hAnsi="宋体" w:eastAsia="宋体" w:cs="宋体"/>
          <w:spacing w:val="2"/>
          <w:sz w:val="28"/>
          <w:szCs w:val="28"/>
        </w:rPr>
      </w:pPr>
      <w:r>
        <w:rPr>
          <w:rFonts w:hint="eastAsia" w:ascii="宋体" w:hAnsi="宋体" w:eastAsia="宋体" w:cs="宋体"/>
          <w:b/>
          <w:bCs/>
          <w:spacing w:val="2"/>
          <w:sz w:val="28"/>
          <w:szCs w:val="28"/>
          <w:lang w:val="en-US" w:eastAsia="zh-CN"/>
        </w:rPr>
        <w:t>第七</w:t>
      </w:r>
      <w:r>
        <w:rPr>
          <w:rFonts w:hint="eastAsia" w:ascii="宋体" w:hAnsi="宋体" w:eastAsia="宋体" w:cs="宋体"/>
          <w:b/>
          <w:bCs/>
          <w:spacing w:val="2"/>
          <w:sz w:val="28"/>
          <w:szCs w:val="28"/>
        </w:rPr>
        <w:t>条</w:t>
      </w:r>
      <w:r>
        <w:rPr>
          <w:rFonts w:hint="eastAsia" w:ascii="宋体" w:hAnsi="宋体" w:eastAsia="宋体" w:cs="宋体"/>
          <w:spacing w:val="2"/>
          <w:sz w:val="28"/>
          <w:szCs w:val="28"/>
          <w:lang w:val="en-US" w:eastAsia="zh-CN"/>
        </w:rPr>
        <w:t xml:space="preserve"> 固定资产由计划财务部统一建账、核算，综合管理部是固定资产实物管理部门，负责固定资产的验收、领用、清查盘点、保管、维修、处置等各项工作。</w:t>
      </w:r>
    </w:p>
    <w:p w14:paraId="2A595891">
      <w:pPr>
        <w:keepNext w:val="0"/>
        <w:keepLines w:val="0"/>
        <w:pageBreakBefore w:val="0"/>
        <w:widowControl/>
        <w:kinsoku w:val="0"/>
        <w:wordWrap/>
        <w:overflowPunct/>
        <w:topLinePunct w:val="0"/>
        <w:autoSpaceDE w:val="0"/>
        <w:autoSpaceDN w:val="0"/>
        <w:bidi w:val="0"/>
        <w:adjustRightInd w:val="0"/>
        <w:snapToGrid w:val="0"/>
        <w:spacing w:before="172" w:line="560" w:lineRule="exact"/>
        <w:ind w:left="490" w:right="69" w:rightChars="0" w:hanging="569" w:hangingChars="200"/>
        <w:jc w:val="both"/>
        <w:textAlignment w:val="baseline"/>
        <w:rPr>
          <w:rFonts w:hint="eastAsia" w:ascii="宋体" w:hAnsi="宋体" w:eastAsia="宋体" w:cs="宋体"/>
          <w:spacing w:val="2"/>
          <w:sz w:val="28"/>
          <w:szCs w:val="28"/>
        </w:rPr>
      </w:pPr>
      <w:r>
        <w:rPr>
          <w:rFonts w:hint="eastAsia" w:ascii="宋体" w:hAnsi="宋体" w:eastAsia="宋体" w:cs="宋体"/>
          <w:b/>
          <w:bCs/>
          <w:spacing w:val="2"/>
          <w:sz w:val="28"/>
          <w:szCs w:val="28"/>
        </w:rPr>
        <w:t>第</w:t>
      </w:r>
      <w:r>
        <w:rPr>
          <w:rFonts w:hint="eastAsia" w:ascii="宋体" w:hAnsi="宋体" w:eastAsia="宋体" w:cs="宋体"/>
          <w:b/>
          <w:bCs/>
          <w:spacing w:val="2"/>
          <w:sz w:val="28"/>
          <w:szCs w:val="28"/>
          <w:lang w:val="en-US" w:eastAsia="zh-CN"/>
        </w:rPr>
        <w:t>八</w:t>
      </w:r>
      <w:r>
        <w:rPr>
          <w:rFonts w:hint="eastAsia" w:ascii="宋体" w:hAnsi="宋体" w:eastAsia="宋体" w:cs="宋体"/>
          <w:b/>
          <w:bCs/>
          <w:spacing w:val="2"/>
          <w:sz w:val="28"/>
          <w:szCs w:val="28"/>
        </w:rPr>
        <w:t>条</w:t>
      </w:r>
      <w:r>
        <w:rPr>
          <w:rFonts w:hint="eastAsia" w:ascii="宋体" w:hAnsi="宋体" w:eastAsia="宋体" w:cs="宋体"/>
          <w:spacing w:val="2"/>
          <w:sz w:val="28"/>
          <w:szCs w:val="28"/>
        </w:rPr>
        <w:t xml:space="preserve"> 固定资产的标准：单位价值在</w:t>
      </w:r>
      <w:r>
        <w:rPr>
          <w:rFonts w:hint="eastAsia" w:ascii="宋体" w:hAnsi="宋体" w:eastAsia="宋体" w:cs="宋体"/>
          <w:spacing w:val="2"/>
          <w:sz w:val="28"/>
          <w:szCs w:val="28"/>
          <w:lang w:val="en-US" w:eastAsia="zh-CN"/>
        </w:rPr>
        <w:t>2</w:t>
      </w:r>
      <w:r>
        <w:rPr>
          <w:rFonts w:hint="eastAsia" w:ascii="宋体" w:hAnsi="宋体" w:eastAsia="宋体" w:cs="宋体"/>
          <w:spacing w:val="2"/>
          <w:sz w:val="28"/>
          <w:szCs w:val="28"/>
        </w:rPr>
        <w:t xml:space="preserve">000元以上，且使用年限在1年以上。 </w:t>
      </w:r>
    </w:p>
    <w:p w14:paraId="70053D2F">
      <w:pPr>
        <w:keepNext w:val="0"/>
        <w:keepLines w:val="0"/>
        <w:pageBreakBefore w:val="0"/>
        <w:widowControl/>
        <w:kinsoku w:val="0"/>
        <w:wordWrap/>
        <w:overflowPunct/>
        <w:topLinePunct w:val="0"/>
        <w:autoSpaceDE w:val="0"/>
        <w:autoSpaceDN w:val="0"/>
        <w:bidi w:val="0"/>
        <w:adjustRightInd w:val="0"/>
        <w:snapToGrid w:val="0"/>
        <w:spacing w:before="172" w:line="560" w:lineRule="exact"/>
        <w:ind w:left="490" w:right="69" w:rightChars="0" w:hanging="569" w:hangingChars="200"/>
        <w:jc w:val="both"/>
        <w:textAlignment w:val="baseline"/>
        <w:rPr>
          <w:rFonts w:hint="eastAsia" w:ascii="宋体" w:hAnsi="宋体" w:eastAsia="宋体" w:cs="宋体"/>
          <w:spacing w:val="2"/>
          <w:sz w:val="28"/>
          <w:szCs w:val="28"/>
        </w:rPr>
      </w:pPr>
      <w:r>
        <w:rPr>
          <w:rFonts w:hint="eastAsia" w:ascii="宋体" w:hAnsi="宋体" w:eastAsia="宋体" w:cs="宋体"/>
          <w:b/>
          <w:bCs/>
          <w:spacing w:val="2"/>
          <w:sz w:val="28"/>
          <w:szCs w:val="28"/>
        </w:rPr>
        <w:t>第</w:t>
      </w:r>
      <w:r>
        <w:rPr>
          <w:rFonts w:hint="eastAsia" w:ascii="宋体" w:hAnsi="宋体" w:eastAsia="宋体" w:cs="宋体"/>
          <w:b/>
          <w:bCs/>
          <w:spacing w:val="2"/>
          <w:sz w:val="28"/>
          <w:szCs w:val="28"/>
          <w:lang w:val="en-US" w:eastAsia="zh-CN"/>
        </w:rPr>
        <w:t>九</w:t>
      </w:r>
      <w:r>
        <w:rPr>
          <w:rFonts w:hint="eastAsia" w:ascii="宋体" w:hAnsi="宋体" w:eastAsia="宋体" w:cs="宋体"/>
          <w:b/>
          <w:bCs/>
          <w:spacing w:val="2"/>
          <w:sz w:val="28"/>
          <w:szCs w:val="28"/>
        </w:rPr>
        <w:t>条</w:t>
      </w:r>
      <w:r>
        <w:rPr>
          <w:rFonts w:hint="eastAsia" w:ascii="宋体" w:hAnsi="宋体" w:eastAsia="宋体" w:cs="宋体"/>
          <w:spacing w:val="2"/>
          <w:sz w:val="28"/>
          <w:szCs w:val="28"/>
        </w:rPr>
        <w:t xml:space="preserve"> 固定资产</w:t>
      </w:r>
      <w:r>
        <w:rPr>
          <w:rFonts w:hint="eastAsia" w:ascii="宋体" w:hAnsi="宋体" w:eastAsia="宋体" w:cs="宋体"/>
          <w:spacing w:val="2"/>
          <w:sz w:val="28"/>
          <w:szCs w:val="28"/>
          <w:lang w:val="en-US" w:eastAsia="zh-CN"/>
        </w:rPr>
        <w:t>的</w:t>
      </w:r>
      <w:r>
        <w:rPr>
          <w:rFonts w:hint="eastAsia" w:ascii="宋体" w:hAnsi="宋体" w:eastAsia="宋体" w:cs="宋体"/>
          <w:spacing w:val="2"/>
          <w:sz w:val="28"/>
          <w:szCs w:val="28"/>
        </w:rPr>
        <w:t>计价：</w:t>
      </w:r>
    </w:p>
    <w:p w14:paraId="1C6AE867">
      <w:pPr>
        <w:keepNext w:val="0"/>
        <w:keepLines w:val="0"/>
        <w:pageBreakBefore w:val="0"/>
        <w:widowControl/>
        <w:kinsoku w:val="0"/>
        <w:wordWrap/>
        <w:overflowPunct/>
        <w:topLinePunct w:val="0"/>
        <w:autoSpaceDE w:val="0"/>
        <w:autoSpaceDN w:val="0"/>
        <w:bidi w:val="0"/>
        <w:adjustRightInd w:val="0"/>
        <w:snapToGrid w:val="0"/>
        <w:spacing w:before="172" w:line="560" w:lineRule="exact"/>
        <w:ind w:left="490" w:right="69" w:rightChars="0" w:hanging="568" w:hangingChars="200"/>
        <w:jc w:val="both"/>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一）购置的固定资产不需要安装、建造即可使用的，按实际支付的买价、包装费、运输费、交纳的有关税费等，作为固定资产的价值；购置的固定资产需要安装、建造的，按实际支付的买价、包装费、运输费、交纳的有关税费、安装费、建造费等，作为固定资产的价值。</w:t>
      </w:r>
    </w:p>
    <w:p w14:paraId="4D51D53D">
      <w:pPr>
        <w:keepNext w:val="0"/>
        <w:keepLines w:val="0"/>
        <w:pageBreakBefore w:val="0"/>
        <w:widowControl/>
        <w:kinsoku w:val="0"/>
        <w:wordWrap/>
        <w:overflowPunct/>
        <w:topLinePunct w:val="0"/>
        <w:autoSpaceDE w:val="0"/>
        <w:autoSpaceDN w:val="0"/>
        <w:bidi w:val="0"/>
        <w:adjustRightInd w:val="0"/>
        <w:snapToGrid w:val="0"/>
        <w:spacing w:before="172" w:line="560" w:lineRule="exact"/>
        <w:ind w:left="490" w:right="69" w:rightChars="0" w:hanging="568" w:hangingChars="200"/>
        <w:jc w:val="both"/>
        <w:textAlignment w:val="baseline"/>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（二）接受捐赠和无偿调入的固定资产，按照同类固定资产的市场价格或者有关凭证记账，接受捐赠固定资产时发生的相关费用应计入固定资产价值。</w:t>
      </w:r>
    </w:p>
    <w:p w14:paraId="5970C594">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1" w:hangingChars="200"/>
        <w:textAlignment w:val="baseline"/>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条</w:t>
      </w:r>
      <w:r>
        <w:rPr>
          <w:rFonts w:hint="eastAsia" w:ascii="宋体" w:hAnsi="宋体" w:eastAsia="宋体" w:cs="宋体"/>
          <w:sz w:val="28"/>
          <w:szCs w:val="28"/>
        </w:rPr>
        <w:t xml:space="preserve"> 固定资产的折旧年限： </w:t>
      </w:r>
    </w:p>
    <w:p w14:paraId="2AF5F66C">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rPr>
      </w:pPr>
      <w:r>
        <w:rPr>
          <w:rFonts w:hint="eastAsia" w:ascii="宋体" w:hAnsi="宋体" w:eastAsia="宋体" w:cs="宋体"/>
          <w:sz w:val="28"/>
          <w:szCs w:val="28"/>
        </w:rPr>
        <w:t>（一）房屋及建筑物</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0年； </w:t>
      </w:r>
    </w:p>
    <w:p w14:paraId="6B4D3393">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rPr>
      </w:pPr>
      <w:r>
        <w:rPr>
          <w:rFonts w:hint="eastAsia" w:ascii="宋体" w:hAnsi="宋体" w:eastAsia="宋体" w:cs="宋体"/>
          <w:sz w:val="28"/>
          <w:szCs w:val="28"/>
        </w:rPr>
        <w:t>（二）交通运输工具</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年； </w:t>
      </w:r>
    </w:p>
    <w:p w14:paraId="3EB3EBCB">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（三）</w:t>
      </w:r>
      <w:r>
        <w:rPr>
          <w:rFonts w:hint="eastAsia" w:ascii="宋体" w:hAnsi="宋体" w:eastAsia="宋体" w:cs="宋体"/>
          <w:sz w:val="28"/>
          <w:szCs w:val="28"/>
          <w:lang w:val="en-US" w:eastAsia="zh-CN"/>
        </w:rPr>
        <w:t>办公</w:t>
      </w:r>
      <w:r>
        <w:rPr>
          <w:rFonts w:hint="eastAsia" w:ascii="宋体" w:hAnsi="宋体" w:eastAsia="宋体" w:cs="宋体"/>
          <w:sz w:val="28"/>
          <w:szCs w:val="28"/>
        </w:rPr>
        <w:t>设备5年</w:t>
      </w:r>
      <w:r>
        <w:rPr>
          <w:rFonts w:hint="eastAsia" w:ascii="宋体" w:hAnsi="宋体" w:eastAsia="宋体" w:cs="宋体"/>
          <w:sz w:val="28"/>
          <w:szCs w:val="28"/>
          <w:lang w:eastAsia="zh-CN"/>
        </w:rPr>
        <w:t>；</w:t>
      </w:r>
    </w:p>
    <w:p w14:paraId="22BD7006">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电子设备3年。</w:t>
      </w:r>
    </w:p>
    <w:p w14:paraId="399BD552">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1" w:hangingChars="200"/>
        <w:textAlignment w:val="baseline"/>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第十一条</w:t>
      </w:r>
      <w:r>
        <w:rPr>
          <w:rFonts w:hint="eastAsia" w:ascii="宋体" w:hAnsi="宋体" w:eastAsia="宋体" w:cs="宋体"/>
          <w:sz w:val="28"/>
          <w:szCs w:val="28"/>
          <w:lang w:val="en-US" w:eastAsia="zh-CN"/>
        </w:rPr>
        <w:t xml:space="preserve"> 固定资产采用平均年限法计提折旧，残值率为5%。固定资产提完折旧还可继续使用的，不再计提折旧；提前报废的固定资产不再补提折旧。</w:t>
      </w:r>
    </w:p>
    <w:p w14:paraId="0C49CC6A">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1" w:hangingChars="200"/>
        <w:textAlignment w:val="baseline"/>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第十二条</w:t>
      </w:r>
      <w:r>
        <w:rPr>
          <w:rFonts w:hint="eastAsia" w:ascii="宋体" w:hAnsi="宋体" w:eastAsia="宋体" w:cs="宋体"/>
          <w:sz w:val="28"/>
          <w:szCs w:val="28"/>
          <w:lang w:val="en-US" w:eastAsia="zh-CN"/>
        </w:rPr>
        <w:t xml:space="preserve"> 固定资产的购置</w:t>
      </w:r>
    </w:p>
    <w:p w14:paraId="25EB2E17">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各部门申请购置固定资产时，需注明用途、数量、规格型号及购置预算报秘书处，固定资产实物管理部门根据申请部门的资产配置情况及单位资产库存情况，根据工作需要以及是否可调节使用提出处理意见。如确需购买，根据经费使用情况提出采购意见后报秘书长或其授权的副秘书长审批同意后进行采购。</w:t>
      </w:r>
    </w:p>
    <w:p w14:paraId="5F8D2CA1">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（二）50万元及以下的固定资产采购需询价，50万元-400万元（含400万元）的固定资产采购需进行三方比价，400万元以上的固定资产采购需公开招标。如属于捐赠人要求购买的固定资产，则按照有关协议要求办理。</w:t>
      </w:r>
    </w:p>
    <w:p w14:paraId="4896EB4D">
      <w:pPr>
        <w:keepNext w:val="0"/>
        <w:keepLines w:val="0"/>
        <w:pageBreakBefore w:val="0"/>
        <w:widowControl/>
        <w:kinsoku w:val="0"/>
        <w:wordWrap/>
        <w:overflowPunct/>
        <w:topLinePunct w:val="0"/>
        <w:autoSpaceDE w:val="0"/>
        <w:autoSpaceDN w:val="0"/>
        <w:bidi w:val="0"/>
        <w:adjustRightInd w:val="0"/>
        <w:snapToGrid w:val="0"/>
        <w:spacing w:line="560" w:lineRule="exact"/>
        <w:ind w:left="490" w:hanging="560" w:hanging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金会添置的固定资产，由固定资产实物管理部门会同供应商对资产进行查验，查验合格后办理入库手续，在实物上贴好标签，并填写固定资产登记卡，与资产使用部门办理资产领用手续，将资产入库单、购置发票交至计划财务部建立固定资产明细账。</w:t>
      </w:r>
    </w:p>
    <w:p w14:paraId="7B4C84D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8" w:line="560" w:lineRule="exact"/>
        <w:ind w:left="490" w:hanging="576" w:hangingChars="200"/>
        <w:textAlignment w:val="baseline"/>
        <w:rPr>
          <w:rFonts w:hint="eastAsia" w:ascii="宋体" w:hAnsi="宋体" w:eastAsia="宋体" w:cs="宋体"/>
          <w:b w:val="0"/>
          <w:bCs w:val="0"/>
          <w:spacing w:val="4"/>
          <w:sz w:val="28"/>
          <w:szCs w:val="28"/>
          <w:lang w:val="en-US" w:eastAsia="zh-CN"/>
        </w:rPr>
      </w:pPr>
      <w:r>
        <w:rPr>
          <w:rFonts w:hint="eastAsia" w:ascii="宋体" w:hAnsi="宋体" w:eastAsia="宋体" w:cs="宋体"/>
          <w:b w:val="0"/>
          <w:bCs w:val="0"/>
          <w:spacing w:val="4"/>
          <w:sz w:val="28"/>
          <w:szCs w:val="28"/>
          <w:lang w:val="en-US" w:eastAsia="zh-CN"/>
        </w:rPr>
        <w:t>固定资产清理和报废</w:t>
      </w:r>
    </w:p>
    <w:p w14:paraId="1EAEB91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560" w:lineRule="exact"/>
        <w:ind w:left="490" w:hanging="576" w:hangingChars="200"/>
        <w:textAlignment w:val="baseline"/>
        <w:rPr>
          <w:rFonts w:hint="eastAsia" w:ascii="宋体" w:hAnsi="宋体" w:eastAsia="宋体" w:cs="宋体"/>
          <w:b w:val="0"/>
          <w:bCs w:val="0"/>
          <w:spacing w:val="4"/>
          <w:sz w:val="28"/>
          <w:szCs w:val="28"/>
          <w:lang w:val="en-US" w:eastAsia="zh-CN"/>
        </w:rPr>
      </w:pPr>
      <w:r>
        <w:rPr>
          <w:rFonts w:hint="eastAsia" w:ascii="宋体" w:hAnsi="宋体" w:eastAsia="宋体" w:cs="宋体"/>
          <w:b w:val="0"/>
          <w:bCs w:val="0"/>
          <w:spacing w:val="4"/>
          <w:sz w:val="28"/>
          <w:szCs w:val="28"/>
          <w:lang w:val="en-US" w:eastAsia="zh-CN"/>
        </w:rPr>
        <w:t>对于需要清理和报废的固定资产，由资产使用部门提出申请，固定资产实物管理部门进行查验，确属无法使用或维修费用高于资产成本无维修意义的，经秘书长或其授权的副秘书长提交理事会，经理事会批准后予以报废；后续交由计划财务部进行账务处理。</w:t>
      </w:r>
    </w:p>
    <w:p w14:paraId="4B015C9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560" w:lineRule="exact"/>
        <w:ind w:left="490" w:hanging="577" w:hangingChars="200"/>
        <w:textAlignment w:val="baseline"/>
        <w:rPr>
          <w:rFonts w:hint="eastAsia" w:ascii="宋体" w:hAnsi="宋体" w:eastAsia="宋体" w:cs="宋体"/>
          <w:b w:val="0"/>
          <w:bCs w:val="0"/>
          <w:spacing w:val="4"/>
          <w:sz w:val="28"/>
          <w:szCs w:val="28"/>
          <w:lang w:val="en-US" w:eastAsia="zh-CN"/>
        </w:rPr>
      </w:pPr>
      <w:r>
        <w:rPr>
          <w:rFonts w:hint="eastAsia" w:ascii="宋体" w:hAnsi="宋体" w:eastAsia="宋体" w:cs="宋体"/>
          <w:b/>
          <w:bCs/>
          <w:spacing w:val="4"/>
          <w:sz w:val="28"/>
          <w:szCs w:val="28"/>
          <w:lang w:val="en-US" w:eastAsia="zh-CN"/>
        </w:rPr>
        <w:t xml:space="preserve">第十四条 </w:t>
      </w:r>
      <w:r>
        <w:rPr>
          <w:rFonts w:hint="eastAsia" w:ascii="宋体" w:hAnsi="宋体" w:eastAsia="宋体" w:cs="宋体"/>
          <w:b w:val="0"/>
          <w:bCs w:val="0"/>
          <w:spacing w:val="4"/>
          <w:sz w:val="28"/>
          <w:szCs w:val="28"/>
          <w:lang w:val="en-US" w:eastAsia="zh-CN"/>
        </w:rPr>
        <w:t>固定资产的购置需由秘书长或其授权的副秘书长审批。</w:t>
      </w:r>
    </w:p>
    <w:p w14:paraId="2D3D6A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560" w:lineRule="exact"/>
        <w:ind w:left="490" w:hanging="577" w:hangingChars="200"/>
        <w:textAlignment w:val="baseline"/>
        <w:rPr>
          <w:rFonts w:hint="eastAsia" w:ascii="宋体" w:hAnsi="宋体" w:eastAsia="宋体" w:cs="宋体"/>
          <w:b/>
          <w:bCs/>
          <w:spacing w:val="-1"/>
          <w:sz w:val="28"/>
          <w:szCs w:val="28"/>
          <w:lang w:val="en-US" w:eastAsia="zh-CN"/>
        </w:rPr>
      </w:pPr>
      <w:r>
        <w:rPr>
          <w:rFonts w:hint="eastAsia" w:ascii="宋体" w:hAnsi="宋体" w:eastAsia="宋体" w:cs="宋体"/>
          <w:b/>
          <w:bCs/>
          <w:spacing w:val="4"/>
          <w:sz w:val="28"/>
          <w:szCs w:val="28"/>
          <w:lang w:val="en-US" w:eastAsia="zh-CN"/>
        </w:rPr>
        <w:t>第十五条</w:t>
      </w:r>
      <w:r>
        <w:rPr>
          <w:rFonts w:hint="eastAsia" w:ascii="宋体" w:hAnsi="宋体" w:eastAsia="宋体" w:cs="宋体"/>
          <w:b w:val="0"/>
          <w:bCs w:val="0"/>
          <w:spacing w:val="4"/>
          <w:sz w:val="28"/>
          <w:szCs w:val="28"/>
          <w:lang w:val="en-US" w:eastAsia="zh-CN"/>
        </w:rPr>
        <w:t xml:space="preserve"> 固定资产每年至少盘点一次，对盘盈、盘亏、报废及固定资产计价，必须严格审查，按规定经批准后及时予以处理。固定资产实物管理部门与计划财务部共同对固定资产进行盘点，根据固定资产盘点表，与固定资产明细账、固定资产卡片、固定资产台账逐项核对，做到账实相符。</w:t>
      </w:r>
      <w:bookmarkStart w:id="0" w:name="_GoBack"/>
      <w:bookmarkEnd w:id="0"/>
    </w:p>
    <w:p w14:paraId="3FE94D7D">
      <w:pPr>
        <w:jc w:val="both"/>
        <w:rPr>
          <w:rFonts w:hint="eastAsia" w:ascii="宋体" w:hAnsi="宋体" w:eastAsia="宋体" w:cs="宋体"/>
          <w:b/>
          <w:bCs/>
          <w:spacing w:val="-1"/>
          <w:sz w:val="30"/>
          <w:szCs w:val="30"/>
          <w:lang w:val="en-US" w:eastAsia="zh-CN"/>
        </w:rPr>
      </w:pPr>
      <w:r>
        <w:rPr>
          <w:rFonts w:hint="eastAsia" w:ascii="宋体" w:hAnsi="宋体" w:eastAsia="宋体" w:cs="宋体"/>
          <w:b/>
          <w:bCs/>
          <w:spacing w:val="-1"/>
          <w:sz w:val="30"/>
          <w:szCs w:val="30"/>
          <w:lang w:val="en-US" w:eastAsia="zh-CN"/>
        </w:rPr>
        <w:t>二、非实物资产管理规范</w:t>
      </w:r>
    </w:p>
    <w:p w14:paraId="49CACAFB">
      <w:pPr>
        <w:keepNext w:val="0"/>
        <w:keepLines w:val="0"/>
        <w:pageBreakBefore w:val="0"/>
        <w:widowControl/>
        <w:kinsoku w:val="0"/>
        <w:wordWrap/>
        <w:overflowPunct/>
        <w:topLinePunct w:val="0"/>
        <w:autoSpaceDE w:val="0"/>
        <w:autoSpaceDN w:val="0"/>
        <w:bidi w:val="0"/>
        <w:adjustRightInd w:val="0"/>
        <w:snapToGrid w:val="0"/>
        <w:spacing w:before="87" w:line="560" w:lineRule="exact"/>
        <w:ind w:left="3863"/>
        <w:textAlignment w:val="baseline"/>
        <w:rPr>
          <w:rFonts w:hint="eastAsia" w:ascii="宋体" w:hAnsi="宋体" w:eastAsia="宋体" w:cs="宋体"/>
          <w:sz w:val="28"/>
          <w:szCs w:val="28"/>
        </w:rPr>
      </w:pPr>
      <w:r>
        <w:rPr>
          <w:rFonts w:hint="eastAsia" w:ascii="宋体" w:hAnsi="宋体" w:eastAsia="宋体" w:cs="宋体"/>
          <w:b/>
          <w:bCs/>
          <w:spacing w:val="-4"/>
          <w:sz w:val="28"/>
          <w:szCs w:val="28"/>
        </w:rPr>
        <w:t>第一章</w:t>
      </w:r>
      <w:r>
        <w:rPr>
          <w:rFonts w:hint="eastAsia" w:ascii="宋体" w:hAnsi="宋体" w:eastAsia="宋体" w:cs="宋体"/>
          <w:spacing w:val="1"/>
          <w:sz w:val="28"/>
          <w:szCs w:val="28"/>
        </w:rPr>
        <w:t xml:space="preserve">  </w:t>
      </w:r>
      <w:r>
        <w:rPr>
          <w:rFonts w:hint="eastAsia" w:ascii="宋体" w:hAnsi="宋体" w:eastAsia="宋体" w:cs="宋体"/>
          <w:b/>
          <w:bCs/>
          <w:spacing w:val="-4"/>
          <w:sz w:val="28"/>
          <w:szCs w:val="28"/>
        </w:rPr>
        <w:t>总则</w:t>
      </w:r>
    </w:p>
    <w:p w14:paraId="78EC0AF2">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514" w:hanging="593" w:hangingChars="200"/>
        <w:textAlignment w:val="baseline"/>
        <w:rPr>
          <w:rFonts w:hint="eastAsia" w:ascii="宋体" w:hAnsi="宋体" w:eastAsia="宋体" w:cs="宋体"/>
          <w:b/>
          <w:bCs/>
          <w:spacing w:val="8"/>
          <w:position w:val="17"/>
          <w:sz w:val="28"/>
          <w:szCs w:val="28"/>
        </w:rPr>
      </w:pPr>
      <w:r>
        <w:rPr>
          <w:rFonts w:hint="eastAsia" w:ascii="宋体" w:hAnsi="宋体" w:eastAsia="宋体" w:cs="宋体"/>
          <w:b/>
          <w:bCs/>
          <w:spacing w:val="8"/>
          <w:position w:val="17"/>
          <w:sz w:val="28"/>
          <w:szCs w:val="28"/>
        </w:rPr>
        <w:t xml:space="preserve">第一条 </w:t>
      </w:r>
      <w:r>
        <w:rPr>
          <w:rFonts w:hint="eastAsia" w:ascii="宋体" w:hAnsi="宋体" w:eastAsia="宋体" w:cs="宋体"/>
          <w:b w:val="0"/>
          <w:bCs w:val="0"/>
          <w:spacing w:val="8"/>
          <w:position w:val="17"/>
          <w:sz w:val="28"/>
          <w:szCs w:val="28"/>
        </w:rPr>
        <w:t>为保证</w:t>
      </w:r>
      <w:r>
        <w:rPr>
          <w:rFonts w:hint="eastAsia" w:ascii="宋体" w:hAnsi="宋体" w:eastAsia="宋体" w:cs="宋体"/>
          <w:b w:val="0"/>
          <w:bCs w:val="0"/>
          <w:spacing w:val="8"/>
          <w:position w:val="17"/>
          <w:sz w:val="28"/>
          <w:szCs w:val="28"/>
          <w:lang w:eastAsia="zh-CN"/>
        </w:rPr>
        <w:t>北京维康慈善基金会</w:t>
      </w:r>
      <w:r>
        <w:rPr>
          <w:rFonts w:hint="eastAsia" w:ascii="宋体" w:hAnsi="宋体" w:eastAsia="宋体" w:cs="宋体"/>
          <w:b w:val="0"/>
          <w:bCs w:val="0"/>
          <w:spacing w:val="8"/>
          <w:position w:val="17"/>
          <w:sz w:val="28"/>
          <w:szCs w:val="28"/>
        </w:rPr>
        <w:t>（以下简称“</w:t>
      </w:r>
      <w:r>
        <w:rPr>
          <w:rFonts w:hint="eastAsia" w:ascii="宋体" w:hAnsi="宋体" w:eastAsia="宋体" w:cs="宋体"/>
          <w:b w:val="0"/>
          <w:bCs w:val="0"/>
          <w:spacing w:val="8"/>
          <w:position w:val="17"/>
          <w:sz w:val="28"/>
          <w:szCs w:val="28"/>
          <w:lang w:val="en-US" w:eastAsia="zh-CN"/>
        </w:rPr>
        <w:t>基金会</w:t>
      </w:r>
      <w:r>
        <w:rPr>
          <w:rFonts w:hint="eastAsia" w:ascii="宋体" w:hAnsi="宋体" w:eastAsia="宋体" w:cs="宋体"/>
          <w:b w:val="0"/>
          <w:bCs w:val="0"/>
          <w:spacing w:val="8"/>
          <w:position w:val="17"/>
          <w:sz w:val="28"/>
          <w:szCs w:val="28"/>
        </w:rPr>
        <w:t>”）</w:t>
      </w:r>
      <w:r>
        <w:rPr>
          <w:rFonts w:hint="eastAsia" w:ascii="宋体" w:hAnsi="宋体" w:eastAsia="宋体" w:cs="宋体"/>
          <w:b w:val="0"/>
          <w:bCs w:val="0"/>
          <w:spacing w:val="8"/>
          <w:position w:val="17"/>
          <w:sz w:val="28"/>
          <w:szCs w:val="28"/>
          <w:lang w:val="en-US" w:eastAsia="zh-CN"/>
        </w:rPr>
        <w:t>非</w:t>
      </w:r>
      <w:r>
        <w:rPr>
          <w:rFonts w:hint="eastAsia" w:ascii="宋体" w:hAnsi="宋体" w:eastAsia="宋体" w:cs="宋体"/>
          <w:b w:val="0"/>
          <w:bCs w:val="0"/>
          <w:spacing w:val="8"/>
          <w:position w:val="17"/>
          <w:sz w:val="28"/>
          <w:szCs w:val="28"/>
        </w:rPr>
        <w:t>实物资产安全，提高资产使用效率，根据《基金会管理条例》《民间非营利组织会计制度》等有关法律法规，制定本</w:t>
      </w:r>
      <w:r>
        <w:rPr>
          <w:rFonts w:hint="eastAsia" w:ascii="宋体" w:hAnsi="宋体" w:eastAsia="宋体" w:cs="宋体"/>
          <w:b w:val="0"/>
          <w:bCs w:val="0"/>
          <w:spacing w:val="8"/>
          <w:position w:val="17"/>
          <w:sz w:val="28"/>
          <w:szCs w:val="28"/>
          <w:lang w:val="en-US" w:eastAsia="zh-CN"/>
        </w:rPr>
        <w:t>规范</w:t>
      </w:r>
      <w:r>
        <w:rPr>
          <w:rFonts w:hint="eastAsia" w:ascii="宋体" w:hAnsi="宋体" w:eastAsia="宋体" w:cs="宋体"/>
          <w:b w:val="0"/>
          <w:bCs w:val="0"/>
          <w:spacing w:val="8"/>
          <w:position w:val="17"/>
          <w:sz w:val="28"/>
          <w:szCs w:val="28"/>
        </w:rPr>
        <w:t>。</w:t>
      </w:r>
    </w:p>
    <w:p w14:paraId="09DA895E">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3"/>
        <w:jc w:val="center"/>
        <w:textAlignment w:val="baseline"/>
        <w:rPr>
          <w:rFonts w:hint="eastAsia" w:ascii="宋体" w:hAnsi="宋体" w:eastAsia="宋体" w:cs="宋体"/>
          <w:b/>
          <w:bCs/>
          <w:spacing w:val="8"/>
          <w:position w:val="17"/>
          <w:sz w:val="28"/>
          <w:szCs w:val="28"/>
        </w:rPr>
      </w:pPr>
      <w:r>
        <w:rPr>
          <w:rFonts w:hint="eastAsia" w:ascii="宋体" w:hAnsi="宋体" w:eastAsia="宋体" w:cs="宋体"/>
          <w:b/>
          <w:bCs/>
          <w:spacing w:val="8"/>
          <w:position w:val="17"/>
          <w:sz w:val="28"/>
          <w:szCs w:val="28"/>
        </w:rPr>
        <w:t>第</w:t>
      </w:r>
      <w:r>
        <w:rPr>
          <w:rFonts w:hint="eastAsia" w:ascii="宋体" w:hAnsi="宋体" w:eastAsia="宋体" w:cs="宋体"/>
          <w:b/>
          <w:bCs/>
          <w:spacing w:val="8"/>
          <w:position w:val="17"/>
          <w:sz w:val="28"/>
          <w:szCs w:val="28"/>
          <w:lang w:val="en-US" w:eastAsia="zh-CN"/>
        </w:rPr>
        <w:t>二</w:t>
      </w:r>
      <w:r>
        <w:rPr>
          <w:rFonts w:hint="eastAsia" w:ascii="宋体" w:hAnsi="宋体" w:eastAsia="宋体" w:cs="宋体"/>
          <w:b/>
          <w:bCs/>
          <w:spacing w:val="8"/>
          <w:position w:val="17"/>
          <w:sz w:val="28"/>
          <w:szCs w:val="28"/>
        </w:rPr>
        <w:t xml:space="preserve">章 </w:t>
      </w:r>
      <w:r>
        <w:rPr>
          <w:rFonts w:hint="eastAsia" w:ascii="宋体" w:hAnsi="宋体" w:eastAsia="宋体" w:cs="宋体"/>
          <w:b/>
          <w:bCs/>
          <w:spacing w:val="8"/>
          <w:position w:val="17"/>
          <w:sz w:val="28"/>
          <w:szCs w:val="28"/>
          <w:lang w:val="en-US" w:eastAsia="zh-CN"/>
        </w:rPr>
        <w:t>无形</w:t>
      </w:r>
      <w:r>
        <w:rPr>
          <w:rFonts w:hint="eastAsia" w:ascii="宋体" w:hAnsi="宋体" w:eastAsia="宋体" w:cs="宋体"/>
          <w:b/>
          <w:bCs/>
          <w:spacing w:val="8"/>
          <w:position w:val="17"/>
          <w:sz w:val="28"/>
          <w:szCs w:val="28"/>
        </w:rPr>
        <w:t>资产管理</w:t>
      </w:r>
    </w:p>
    <w:p w14:paraId="456125B2">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514" w:hanging="593" w:hangingChars="200"/>
        <w:textAlignment w:val="baseline"/>
        <w:rPr>
          <w:rFonts w:hint="eastAsia" w:ascii="宋体" w:hAnsi="宋体" w:eastAsia="宋体" w:cs="宋体"/>
          <w:b w:val="0"/>
          <w:bCs w:val="0"/>
          <w:spacing w:val="8"/>
          <w:position w:val="17"/>
          <w:sz w:val="28"/>
          <w:szCs w:val="28"/>
        </w:rPr>
      </w:pPr>
      <w:r>
        <w:rPr>
          <w:rFonts w:hint="eastAsia" w:ascii="宋体" w:hAnsi="宋体" w:eastAsia="宋体" w:cs="宋体"/>
          <w:b/>
          <w:bCs/>
          <w:spacing w:val="8"/>
          <w:position w:val="17"/>
          <w:sz w:val="28"/>
          <w:szCs w:val="28"/>
        </w:rPr>
        <w:t>第</w:t>
      </w:r>
      <w:r>
        <w:rPr>
          <w:rFonts w:hint="eastAsia" w:ascii="宋体" w:hAnsi="宋体" w:eastAsia="宋体" w:cs="宋体"/>
          <w:b/>
          <w:bCs/>
          <w:spacing w:val="8"/>
          <w:position w:val="17"/>
          <w:sz w:val="28"/>
          <w:szCs w:val="28"/>
          <w:lang w:val="en-US" w:eastAsia="zh-CN"/>
        </w:rPr>
        <w:t>二</w:t>
      </w:r>
      <w:r>
        <w:rPr>
          <w:rFonts w:hint="eastAsia" w:ascii="宋体" w:hAnsi="宋体" w:eastAsia="宋体" w:cs="宋体"/>
          <w:b/>
          <w:bCs/>
          <w:spacing w:val="8"/>
          <w:position w:val="17"/>
          <w:sz w:val="28"/>
          <w:szCs w:val="28"/>
        </w:rPr>
        <w:t>条</w:t>
      </w:r>
      <w:r>
        <w:rPr>
          <w:rFonts w:hint="eastAsia" w:ascii="宋体" w:hAnsi="宋体" w:eastAsia="宋体" w:cs="宋体"/>
          <w:b w:val="0"/>
          <w:bCs w:val="0"/>
          <w:spacing w:val="8"/>
          <w:position w:val="17"/>
          <w:sz w:val="28"/>
          <w:szCs w:val="28"/>
        </w:rPr>
        <w:t xml:space="preserve"> 无形资产包括：专利权、非专利技术、商标权、著作权、土地使用权等。无形资产应当自取得当月起在预计使用年限内分期平均摊销。</w:t>
      </w:r>
    </w:p>
    <w:p w14:paraId="34B65B7B">
      <w:pPr>
        <w:keepNext w:val="0"/>
        <w:keepLines w:val="0"/>
        <w:pageBreakBefore w:val="0"/>
        <w:widowControl/>
        <w:kinsoku w:val="0"/>
        <w:wordWrap/>
        <w:overflowPunct/>
        <w:topLinePunct w:val="0"/>
        <w:autoSpaceDE w:val="0"/>
        <w:autoSpaceDN w:val="0"/>
        <w:bidi w:val="0"/>
        <w:adjustRightInd w:val="0"/>
        <w:snapToGrid w:val="0"/>
        <w:spacing w:before="183" w:line="560" w:lineRule="exact"/>
        <w:ind w:left="514" w:hanging="593" w:hangingChars="200"/>
        <w:textAlignment w:val="baseline"/>
        <w:rPr>
          <w:rFonts w:hint="eastAsia" w:ascii="宋体" w:hAnsi="宋体" w:eastAsia="宋体" w:cs="宋体"/>
          <w:b w:val="0"/>
          <w:bCs w:val="0"/>
          <w:spacing w:val="8"/>
          <w:position w:val="17"/>
          <w:sz w:val="28"/>
          <w:szCs w:val="28"/>
        </w:rPr>
      </w:pPr>
      <w:r>
        <w:rPr>
          <w:rFonts w:hint="eastAsia" w:ascii="宋体" w:hAnsi="宋体" w:eastAsia="宋体" w:cs="宋体"/>
          <w:b/>
          <w:bCs/>
          <w:spacing w:val="8"/>
          <w:position w:val="17"/>
          <w:sz w:val="28"/>
          <w:szCs w:val="28"/>
        </w:rPr>
        <w:t>第</w:t>
      </w:r>
      <w:r>
        <w:rPr>
          <w:rFonts w:hint="eastAsia" w:ascii="宋体" w:hAnsi="宋体" w:eastAsia="宋体" w:cs="宋体"/>
          <w:b/>
          <w:bCs/>
          <w:spacing w:val="8"/>
          <w:position w:val="17"/>
          <w:sz w:val="28"/>
          <w:szCs w:val="28"/>
          <w:lang w:val="en-US" w:eastAsia="zh-CN"/>
        </w:rPr>
        <w:t>三</w:t>
      </w:r>
      <w:r>
        <w:rPr>
          <w:rFonts w:hint="eastAsia" w:ascii="宋体" w:hAnsi="宋体" w:eastAsia="宋体" w:cs="宋体"/>
          <w:b/>
          <w:bCs/>
          <w:spacing w:val="8"/>
          <w:position w:val="17"/>
          <w:sz w:val="28"/>
          <w:szCs w:val="28"/>
        </w:rPr>
        <w:t>条</w:t>
      </w:r>
      <w:r>
        <w:rPr>
          <w:rFonts w:hint="eastAsia" w:ascii="宋体" w:hAnsi="宋体" w:eastAsia="宋体" w:cs="宋体"/>
          <w:b w:val="0"/>
          <w:bCs w:val="0"/>
          <w:spacing w:val="8"/>
          <w:position w:val="17"/>
          <w:sz w:val="28"/>
          <w:szCs w:val="28"/>
        </w:rPr>
        <w:t xml:space="preserve"> 基金会不得将本组织的名称，公益项目品牌等其他应当用于公益目的的无形资产用于非公益目的。</w:t>
      </w:r>
    </w:p>
    <w:p w14:paraId="2818EB45">
      <w:pPr>
        <w:keepNext w:val="0"/>
        <w:keepLines w:val="0"/>
        <w:pageBreakBefore w:val="0"/>
        <w:widowControl/>
        <w:kinsoku w:val="0"/>
        <w:wordWrap/>
        <w:overflowPunct/>
        <w:topLinePunct w:val="0"/>
        <w:autoSpaceDE w:val="0"/>
        <w:autoSpaceDN w:val="0"/>
        <w:bidi w:val="0"/>
        <w:adjustRightInd w:val="0"/>
        <w:snapToGrid w:val="0"/>
        <w:spacing w:line="560" w:lineRule="exact"/>
        <w:ind w:left="2"/>
        <w:jc w:val="center"/>
        <w:textAlignment w:val="baseline"/>
        <w:rPr>
          <w:rFonts w:hint="eastAsia" w:ascii="宋体" w:hAnsi="宋体" w:eastAsia="宋体" w:cs="宋体"/>
          <w:b/>
          <w:bCs/>
          <w:spacing w:val="-9"/>
          <w:sz w:val="28"/>
          <w:szCs w:val="28"/>
          <w:u w:val="none" w:color="auto"/>
        </w:rPr>
      </w:pPr>
      <w:r>
        <w:rPr>
          <w:rFonts w:hint="eastAsia" w:ascii="宋体" w:hAnsi="宋体" w:eastAsia="宋体" w:cs="宋体"/>
          <w:b/>
          <w:bCs/>
          <w:spacing w:val="-9"/>
          <w:sz w:val="28"/>
          <w:szCs w:val="28"/>
          <w:u w:val="none" w:color="auto"/>
        </w:rPr>
        <w:t>第</w:t>
      </w:r>
      <w:r>
        <w:rPr>
          <w:rFonts w:hint="eastAsia" w:ascii="宋体" w:hAnsi="宋体" w:eastAsia="宋体" w:cs="宋体"/>
          <w:b/>
          <w:bCs/>
          <w:spacing w:val="-9"/>
          <w:sz w:val="28"/>
          <w:szCs w:val="28"/>
          <w:u w:val="none" w:color="auto"/>
          <w:lang w:val="en-US" w:eastAsia="zh-CN"/>
        </w:rPr>
        <w:t>三</w:t>
      </w:r>
      <w:r>
        <w:rPr>
          <w:rFonts w:hint="eastAsia" w:ascii="宋体" w:hAnsi="宋体" w:eastAsia="宋体" w:cs="宋体"/>
          <w:b/>
          <w:bCs/>
          <w:spacing w:val="-9"/>
          <w:sz w:val="28"/>
          <w:szCs w:val="28"/>
          <w:u w:val="none" w:color="auto"/>
        </w:rPr>
        <w:t xml:space="preserve">章 </w:t>
      </w:r>
      <w:r>
        <w:rPr>
          <w:rFonts w:hint="eastAsia" w:ascii="宋体" w:hAnsi="宋体" w:eastAsia="宋体" w:cs="宋体"/>
          <w:b/>
          <w:bCs/>
          <w:spacing w:val="-9"/>
          <w:sz w:val="28"/>
          <w:szCs w:val="28"/>
          <w:u w:val="none" w:color="auto"/>
          <w:lang w:val="en-US" w:eastAsia="zh-CN"/>
        </w:rPr>
        <w:t>其他资产管理</w:t>
      </w:r>
    </w:p>
    <w:p w14:paraId="448555DF">
      <w:pPr>
        <w:keepNext w:val="0"/>
        <w:keepLines w:val="0"/>
        <w:pageBreakBefore w:val="0"/>
        <w:widowControl/>
        <w:kinsoku w:val="0"/>
        <w:wordWrap/>
        <w:overflowPunct/>
        <w:topLinePunct w:val="0"/>
        <w:autoSpaceDE w:val="0"/>
        <w:autoSpaceDN w:val="0"/>
        <w:bidi w:val="0"/>
        <w:adjustRightInd w:val="0"/>
        <w:snapToGrid w:val="0"/>
        <w:spacing w:before="206" w:line="560" w:lineRule="exact"/>
        <w:ind w:left="526" w:hanging="605" w:hangingChars="200"/>
        <w:textAlignment w:val="baseline"/>
        <w:rPr>
          <w:rFonts w:hint="eastAsia" w:ascii="宋体" w:hAnsi="宋体" w:eastAsia="宋体" w:cs="宋体"/>
          <w:spacing w:val="11"/>
          <w:sz w:val="28"/>
          <w:szCs w:val="28"/>
          <w:u w:val="none" w:color="auto"/>
        </w:rPr>
      </w:pPr>
      <w:r>
        <w:rPr>
          <w:rFonts w:hint="eastAsia" w:ascii="宋体" w:hAnsi="宋体" w:eastAsia="宋体" w:cs="宋体"/>
          <w:b/>
          <w:bCs/>
          <w:spacing w:val="11"/>
          <w:sz w:val="28"/>
          <w:szCs w:val="28"/>
          <w:u w:val="none" w:color="auto"/>
        </w:rPr>
        <w:t>第四条</w:t>
      </w:r>
      <w:r>
        <w:rPr>
          <w:rFonts w:hint="eastAsia" w:ascii="宋体" w:hAnsi="宋体" w:eastAsia="宋体" w:cs="宋体"/>
          <w:spacing w:val="11"/>
          <w:sz w:val="28"/>
          <w:szCs w:val="28"/>
          <w:u w:val="none" w:color="auto"/>
        </w:rPr>
        <w:t xml:space="preserve"> 应收及预付账款按照以下原则进行管理：</w:t>
      </w:r>
    </w:p>
    <w:p w14:paraId="5B5BB1BB">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526" w:hanging="604" w:hangingChars="200"/>
        <w:textAlignment w:val="baseline"/>
        <w:rPr>
          <w:rFonts w:hint="eastAsia" w:ascii="宋体" w:hAnsi="宋体" w:eastAsia="宋体" w:cs="宋体"/>
          <w:spacing w:val="11"/>
          <w:sz w:val="28"/>
          <w:szCs w:val="28"/>
          <w:u w:val="none" w:color="auto"/>
        </w:rPr>
      </w:pPr>
      <w:r>
        <w:rPr>
          <w:rFonts w:hint="eastAsia" w:ascii="宋体" w:hAnsi="宋体" w:eastAsia="宋体" w:cs="宋体"/>
          <w:spacing w:val="11"/>
          <w:sz w:val="28"/>
          <w:szCs w:val="28"/>
          <w:u w:val="none" w:color="auto"/>
        </w:rPr>
        <w:t>（一） 预付账款、应收款项按单位或个人名称设置账户，进行明细核算。</w:t>
      </w:r>
    </w:p>
    <w:p w14:paraId="4541BD17">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526" w:hanging="604" w:hangingChars="200"/>
        <w:textAlignment w:val="baseline"/>
        <w:rPr>
          <w:rFonts w:hint="eastAsia" w:ascii="宋体" w:hAnsi="宋体" w:eastAsia="宋体" w:cs="宋体"/>
          <w:spacing w:val="11"/>
          <w:sz w:val="28"/>
          <w:szCs w:val="28"/>
          <w:u w:val="none" w:color="auto"/>
        </w:rPr>
      </w:pPr>
      <w:r>
        <w:rPr>
          <w:rFonts w:hint="eastAsia" w:ascii="宋体" w:hAnsi="宋体" w:eastAsia="宋体" w:cs="宋体"/>
          <w:spacing w:val="11"/>
          <w:sz w:val="28"/>
          <w:szCs w:val="28"/>
          <w:u w:val="none" w:color="auto"/>
        </w:rPr>
        <w:t>（二） 对预付账款、应收款项要及时进行清理，避免造成呆坏账损失。</w:t>
      </w:r>
    </w:p>
    <w:p w14:paraId="0330F1F7">
      <w:pPr>
        <w:keepNext w:val="0"/>
        <w:keepLines w:val="0"/>
        <w:pageBreakBefore w:val="0"/>
        <w:widowControl/>
        <w:kinsoku w:val="0"/>
        <w:wordWrap/>
        <w:overflowPunct/>
        <w:topLinePunct w:val="0"/>
        <w:autoSpaceDE w:val="0"/>
        <w:autoSpaceDN w:val="0"/>
        <w:bidi w:val="0"/>
        <w:adjustRightInd w:val="0"/>
        <w:snapToGrid w:val="0"/>
        <w:spacing w:before="206" w:line="560" w:lineRule="exact"/>
        <w:ind w:left="526" w:hanging="605" w:hangingChars="200"/>
        <w:textAlignment w:val="baseline"/>
        <w:rPr>
          <w:rFonts w:hint="eastAsia" w:ascii="宋体" w:hAnsi="宋体" w:eastAsia="宋体" w:cs="宋体"/>
          <w:sz w:val="28"/>
          <w:szCs w:val="28"/>
        </w:rPr>
      </w:pPr>
      <w:r>
        <w:rPr>
          <w:rFonts w:hint="eastAsia" w:ascii="宋体" w:hAnsi="宋体" w:eastAsia="宋体" w:cs="宋体"/>
          <w:b/>
          <w:bCs/>
          <w:spacing w:val="11"/>
          <w:sz w:val="28"/>
          <w:szCs w:val="28"/>
          <w:u w:val="none" w:color="auto"/>
        </w:rPr>
        <w:t>第五条</w:t>
      </w:r>
      <w:r>
        <w:rPr>
          <w:rFonts w:hint="eastAsia" w:ascii="宋体" w:hAnsi="宋体" w:eastAsia="宋体" w:cs="宋体"/>
          <w:spacing w:val="11"/>
          <w:sz w:val="28"/>
          <w:szCs w:val="28"/>
          <w:u w:val="none" w:color="auto"/>
        </w:rPr>
        <w:t xml:space="preserve"> 待摊费用的管理，指款项已经支出，但应当由本期和以后各期分别负担的分摊期在一年以内（含一年）的各项费用。按照权责发生制的原则，租赁费虽一次性支付但须按月分摊。</w:t>
      </w:r>
    </w:p>
    <w:p w14:paraId="519EDCDF">
      <w:pPr>
        <w:keepNext w:val="0"/>
        <w:keepLines w:val="0"/>
        <w:pageBreakBefore w:val="0"/>
        <w:widowControl/>
        <w:kinsoku w:val="0"/>
        <w:wordWrap/>
        <w:overflowPunct/>
        <w:topLinePunct w:val="0"/>
        <w:autoSpaceDE w:val="0"/>
        <w:autoSpaceDN w:val="0"/>
        <w:bidi w:val="0"/>
        <w:adjustRightInd w:val="0"/>
        <w:snapToGrid w:val="0"/>
        <w:spacing w:before="188" w:line="560" w:lineRule="exact"/>
        <w:ind w:left="526" w:hanging="585" w:hangingChars="200"/>
        <w:textAlignment w:val="baseline"/>
        <w:rPr>
          <w:rFonts w:hint="eastAsia" w:ascii="宋体" w:hAnsi="宋体" w:eastAsia="宋体" w:cs="宋体"/>
          <w:spacing w:val="6"/>
          <w:sz w:val="28"/>
          <w:szCs w:val="28"/>
        </w:rPr>
      </w:pPr>
      <w:r>
        <w:rPr>
          <w:rFonts w:hint="eastAsia" w:ascii="宋体" w:hAnsi="宋体" w:eastAsia="宋体" w:cs="宋体"/>
          <w:b/>
          <w:bCs/>
          <w:spacing w:val="6"/>
          <w:sz w:val="28"/>
          <w:szCs w:val="28"/>
        </w:rPr>
        <w:t>第</w:t>
      </w:r>
      <w:r>
        <w:rPr>
          <w:rFonts w:hint="eastAsia" w:ascii="宋体" w:hAnsi="宋体" w:eastAsia="宋体" w:cs="宋体"/>
          <w:b/>
          <w:bCs/>
          <w:spacing w:val="6"/>
          <w:sz w:val="28"/>
          <w:szCs w:val="28"/>
          <w:lang w:val="en-US" w:eastAsia="zh-CN"/>
        </w:rPr>
        <w:t>六</w:t>
      </w:r>
      <w:r>
        <w:rPr>
          <w:rFonts w:hint="eastAsia" w:ascii="宋体" w:hAnsi="宋体" w:eastAsia="宋体" w:cs="宋体"/>
          <w:b/>
          <w:bCs/>
          <w:spacing w:val="6"/>
          <w:sz w:val="28"/>
          <w:szCs w:val="28"/>
        </w:rPr>
        <w:t>条</w:t>
      </w:r>
      <w:r>
        <w:rPr>
          <w:rFonts w:hint="eastAsia" w:ascii="宋体" w:hAnsi="宋体" w:eastAsia="宋体" w:cs="宋体"/>
          <w:spacing w:val="6"/>
          <w:sz w:val="28"/>
          <w:szCs w:val="28"/>
        </w:rPr>
        <w:t xml:space="preserve"> 受托代理资产</w:t>
      </w:r>
      <w:r>
        <w:rPr>
          <w:rFonts w:hint="eastAsia" w:ascii="宋体" w:hAnsi="宋体" w:eastAsia="宋体" w:cs="宋体"/>
          <w:spacing w:val="6"/>
          <w:sz w:val="28"/>
          <w:szCs w:val="28"/>
          <w:lang w:val="en-US" w:eastAsia="zh-CN"/>
        </w:rPr>
        <w:t>的管理。</w:t>
      </w:r>
      <w:r>
        <w:rPr>
          <w:rFonts w:hint="eastAsia" w:ascii="宋体" w:hAnsi="宋体" w:eastAsia="宋体" w:cs="宋体"/>
          <w:spacing w:val="6"/>
          <w:sz w:val="28"/>
          <w:szCs w:val="28"/>
        </w:rPr>
        <w:t>受托代理资产，是基金会从委托方收到受托资产，并按照委托人的意愿将资产转赠给指定的其他组织或者个人，基金会本身并不拥有受托资产的所有权和使用权，它只在交易过程中起中介作用。在业务活动中应严格区分受托代理资产和限定性收入的界限。受托代理资产不能开具捐赠票据，不能列入捐赠收入。</w:t>
      </w:r>
    </w:p>
    <w:p w14:paraId="05AF69F5">
      <w:pPr>
        <w:keepNext w:val="0"/>
        <w:keepLines w:val="0"/>
        <w:pageBreakBefore w:val="0"/>
        <w:widowControl w:val="0"/>
        <w:kinsoku/>
        <w:wordWrap/>
        <w:overflowPunct/>
        <w:topLinePunct w:val="0"/>
        <w:autoSpaceDE/>
        <w:autoSpaceDN/>
        <w:bidi w:val="0"/>
        <w:adjustRightInd/>
        <w:snapToGrid/>
        <w:spacing w:line="360" w:lineRule="auto"/>
        <w:ind w:firstLine="577" w:firstLineChars="200"/>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pacing w:val="4"/>
          <w:sz w:val="28"/>
          <w:szCs w:val="28"/>
          <w:lang w:val="en-US" w:eastAsia="zh-CN"/>
        </w:rPr>
        <w:t>本制度于第二届第8次理事会审议通过，自通过之日起施行。</w:t>
      </w:r>
    </w:p>
    <w:p w14:paraId="607908D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560" w:lineRule="exact"/>
        <w:textAlignment w:val="baseline"/>
        <w:rPr>
          <w:rFonts w:hint="eastAsia" w:ascii="宋体" w:hAnsi="宋体" w:eastAsia="宋体" w:cs="宋体"/>
          <w:b w:val="0"/>
          <w:bCs w:val="0"/>
          <w:spacing w:val="4"/>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570E2"/>
    <w:multiLevelType w:val="singleLevel"/>
    <w:tmpl w:val="839570E2"/>
    <w:lvl w:ilvl="0" w:tentative="0">
      <w:start w:val="1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MTk2MDRkZTgxMzNkMTgyMjI1MWJjNTE4MjFkZmUifQ=="/>
  </w:docVars>
  <w:rsids>
    <w:rsidRoot w:val="3D5C7A13"/>
    <w:rsid w:val="07E45657"/>
    <w:rsid w:val="11905098"/>
    <w:rsid w:val="23B64A84"/>
    <w:rsid w:val="363E6854"/>
    <w:rsid w:val="3D5C7A13"/>
    <w:rsid w:val="492E35ED"/>
    <w:rsid w:val="53B649A7"/>
    <w:rsid w:val="77FB5178"/>
    <w:rsid w:val="D12FC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2086</Words>
  <Characters>2109</Characters>
  <Lines>0</Lines>
  <Paragraphs>0</Paragraphs>
  <TotalTime>4</TotalTime>
  <ScaleCrop>false</ScaleCrop>
  <LinksUpToDate>false</LinksUpToDate>
  <CharactersWithSpaces>2136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2024-07-18T14:25:00Z</dcterms:created>
  <dc:creator>一转身就是一辈子</dc:creator>
  <cp:lastModifiedBy>王炸啊</cp:lastModifiedBy>
  <cp:lastPrinted>2025-07-10T16:32:00Z</cp:lastPrinted>
  <dcterms:modified xsi:type="dcterms:W3CDTF">2026-03-09T22:17:08Z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CEC9C86E57FD42A264D6AE693A09A779_43</vt:lpwstr>
  </property>
  <property fmtid="{D5CDD505-2E9C-101B-9397-08002B2CF9AE}" pid="4" name="KSOTemplateDocerSaveRecord">
    <vt:lpwstr>eyJoZGlkIjoiNTBjMTgwYWFhZjBhOGIyNmJlZjhkOWY1NGVmMDM3YjYiLCJ1c2VySWQiOiIxNzY0NDQ0NTgwIn0=</vt:lpwstr>
  </property>
</Properties>
</file>