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43BDA">
      <w:pPr>
        <w:spacing w:line="360" w:lineRule="auto"/>
        <w:jc w:val="center"/>
        <w:rPr>
          <w:rFonts w:hint="eastAsia" w:ascii="宋体" w:hAnsi="宋体" w:eastAsia="宋体" w:cstheme="minorEastAsia"/>
          <w:b/>
          <w:bCs/>
          <w:sz w:val="44"/>
          <w:szCs w:val="44"/>
          <w:lang w:eastAsia="zh-CN"/>
        </w:rPr>
      </w:pPr>
      <w:r>
        <w:rPr>
          <w:rFonts w:hint="eastAsia" w:ascii="宋体" w:hAnsi="宋体" w:cstheme="minorEastAsia"/>
          <w:b/>
          <w:bCs/>
          <w:sz w:val="44"/>
          <w:szCs w:val="44"/>
          <w:lang w:eastAsia="zh-CN"/>
        </w:rPr>
        <w:t>北京维康慈善基金会</w:t>
      </w:r>
    </w:p>
    <w:p w14:paraId="4FEB4150">
      <w:pPr>
        <w:spacing w:line="360" w:lineRule="auto"/>
        <w:jc w:val="center"/>
        <w:rPr>
          <w:rFonts w:ascii="宋体" w:hAnsi="宋体" w:cs="宋体"/>
          <w:b/>
          <w:bCs/>
          <w:sz w:val="44"/>
          <w:szCs w:val="44"/>
        </w:rPr>
      </w:pPr>
      <w:r>
        <w:rPr>
          <w:rFonts w:hint="eastAsia" w:ascii="宋体" w:hAnsi="宋体" w:cs="宋体"/>
          <w:b/>
          <w:bCs/>
          <w:sz w:val="44"/>
          <w:szCs w:val="44"/>
        </w:rPr>
        <w:t>财务管理制度</w:t>
      </w:r>
    </w:p>
    <w:p w14:paraId="51548590">
      <w:pPr>
        <w:spacing w:before="312" w:beforeLines="100" w:after="312" w:afterLines="100" w:line="240" w:lineRule="auto"/>
        <w:jc w:val="center"/>
        <w:rPr>
          <w:rFonts w:asciiTheme="minorEastAsia" w:hAnsiTheme="minorEastAsia" w:eastAsiaTheme="minorEastAsia"/>
          <w:b/>
          <w:bCs/>
          <w:sz w:val="28"/>
          <w:szCs w:val="28"/>
          <w:lang w:val="zh-CN"/>
        </w:rPr>
      </w:pPr>
    </w:p>
    <w:p w14:paraId="652313E2">
      <w:pPr>
        <w:pStyle w:val="2"/>
        <w:spacing w:before="240" w:after="240" w:line="360" w:lineRule="auto"/>
        <w:jc w:val="center"/>
        <w:rPr>
          <w:sz w:val="32"/>
          <w:szCs w:val="32"/>
        </w:rPr>
      </w:pPr>
      <w:bookmarkStart w:id="0" w:name="_Toc48020112"/>
      <w:bookmarkStart w:id="1" w:name="_Toc49000425"/>
      <w:r>
        <w:rPr>
          <w:rFonts w:hint="eastAsia"/>
          <w:sz w:val="32"/>
          <w:szCs w:val="32"/>
        </w:rPr>
        <w:t>第一章 总则</w:t>
      </w:r>
      <w:bookmarkEnd w:id="0"/>
      <w:bookmarkEnd w:id="1"/>
    </w:p>
    <w:p w14:paraId="0AA783FC">
      <w:pPr>
        <w:widowControl/>
        <w:spacing w:line="360" w:lineRule="auto"/>
        <w:ind w:right="147" w:firstLine="561" w:firstLineChars="200"/>
        <w:rPr>
          <w:rFonts w:ascii="宋体" w:hAnsi="宋体" w:cs="宋体"/>
          <w:sz w:val="28"/>
          <w:szCs w:val="28"/>
        </w:rPr>
      </w:pPr>
      <w:r>
        <w:rPr>
          <w:rFonts w:hint="eastAsia" w:ascii="宋体" w:hAnsi="宋体" w:cs="宋体"/>
          <w:b/>
          <w:bCs/>
          <w:sz w:val="28"/>
          <w:szCs w:val="28"/>
          <w:shd w:val="clear" w:color="auto" w:fill="FFFFFF"/>
        </w:rPr>
        <w:t>第一条</w:t>
      </w:r>
      <w:r>
        <w:rPr>
          <w:rFonts w:hint="eastAsia" w:ascii="宋体" w:hAnsi="宋体" w:cs="宋体"/>
          <w:sz w:val="28"/>
          <w:szCs w:val="28"/>
          <w:shd w:val="clear" w:color="auto" w:fill="FFFFFF"/>
        </w:rPr>
        <w:t xml:space="preserve"> 根据《中华人民共和国会计法》、《民间非营利组织会计制度》、《基金会管理条例》等法律法规，按照《</w:t>
      </w:r>
      <w:r>
        <w:rPr>
          <w:rFonts w:hint="eastAsia" w:ascii="宋体" w:hAnsi="宋体" w:cs="宋体"/>
          <w:sz w:val="28"/>
          <w:szCs w:val="28"/>
          <w:shd w:val="clear" w:color="auto" w:fill="FFFFFF"/>
          <w:lang w:eastAsia="zh-CN"/>
        </w:rPr>
        <w:t>北京维康慈善基金会</w:t>
      </w:r>
      <w:r>
        <w:rPr>
          <w:rFonts w:hint="eastAsia" w:ascii="宋体" w:hAnsi="宋体" w:cs="宋体"/>
          <w:sz w:val="28"/>
          <w:szCs w:val="28"/>
          <w:shd w:val="clear" w:color="auto" w:fill="FFFFFF"/>
        </w:rPr>
        <w:t>章程》规定，特制定本制度。</w:t>
      </w:r>
    </w:p>
    <w:p w14:paraId="4265848A">
      <w:pPr>
        <w:widowControl/>
        <w:spacing w:line="360" w:lineRule="auto"/>
        <w:ind w:right="147" w:firstLine="561" w:firstLineChars="200"/>
        <w:rPr>
          <w:rFonts w:ascii="宋体" w:hAnsi="宋体" w:cs="宋体"/>
          <w:sz w:val="28"/>
          <w:szCs w:val="28"/>
        </w:rPr>
      </w:pPr>
      <w:r>
        <w:rPr>
          <w:rFonts w:hint="eastAsia" w:ascii="宋体" w:hAnsi="宋体" w:cs="宋体"/>
          <w:b/>
          <w:bCs/>
          <w:sz w:val="28"/>
          <w:szCs w:val="28"/>
          <w:shd w:val="clear" w:color="auto" w:fill="FFFFFF"/>
        </w:rPr>
        <w:t>第二条</w:t>
      </w:r>
      <w:r>
        <w:rPr>
          <w:rFonts w:hint="eastAsia" w:ascii="宋体" w:hAnsi="宋体" w:cs="宋体"/>
          <w:sz w:val="28"/>
          <w:szCs w:val="28"/>
          <w:shd w:val="clear" w:color="auto" w:fill="FFFFFF"/>
        </w:rPr>
        <w:t xml:space="preserve"> 基金会财务管理的主要任务是：通过资金的管理和运用，对经济活动进行综合管理。具体包括：管理各项收入，合理安排和使用各项资金；建立健全财务管理制度和规程，加强财务监督、检查；维护财产完好，如实反映基金会财务状况。</w:t>
      </w:r>
    </w:p>
    <w:p w14:paraId="0ECF9CBC">
      <w:pPr>
        <w:widowControl/>
        <w:spacing w:line="360" w:lineRule="auto"/>
        <w:ind w:right="150" w:firstLine="561" w:firstLineChars="200"/>
        <w:rPr>
          <w:rFonts w:ascii="宋体" w:hAnsi="宋体" w:cs="宋体"/>
          <w:sz w:val="28"/>
          <w:szCs w:val="28"/>
        </w:rPr>
      </w:pPr>
      <w:r>
        <w:rPr>
          <w:rFonts w:hint="eastAsia" w:ascii="宋体" w:hAnsi="宋体" w:cs="宋体"/>
          <w:b/>
          <w:bCs/>
          <w:sz w:val="28"/>
          <w:szCs w:val="28"/>
          <w:shd w:val="clear" w:color="auto" w:fill="FFFFFF"/>
        </w:rPr>
        <w:t>第三条</w:t>
      </w:r>
      <w:r>
        <w:rPr>
          <w:rFonts w:hint="eastAsia" w:ascii="宋体" w:hAnsi="宋体" w:cs="宋体"/>
          <w:sz w:val="28"/>
          <w:szCs w:val="28"/>
          <w:shd w:val="clear" w:color="auto" w:fill="FFFFFF"/>
        </w:rPr>
        <w:t xml:space="preserve"> 基金会财务管理的内容包括：财务管理体制、预算管理、收入管理、现金管理、支票管理、成本管理、资产管理、财务分析和财务监督和财务会计信息批露。</w:t>
      </w:r>
    </w:p>
    <w:p w14:paraId="0E37A377">
      <w:pPr>
        <w:widowControl/>
        <w:spacing w:line="360" w:lineRule="auto"/>
        <w:ind w:right="150" w:firstLine="561" w:firstLineChars="200"/>
        <w:rPr>
          <w:rFonts w:ascii="宋体" w:hAnsi="宋体" w:cs="宋体"/>
          <w:sz w:val="28"/>
          <w:szCs w:val="28"/>
        </w:rPr>
      </w:pPr>
      <w:r>
        <w:rPr>
          <w:rFonts w:hint="eastAsia" w:ascii="宋体" w:hAnsi="宋体" w:cs="宋体"/>
          <w:b/>
          <w:bCs/>
          <w:sz w:val="28"/>
          <w:szCs w:val="28"/>
          <w:shd w:val="clear" w:color="auto" w:fill="FFFFFF"/>
        </w:rPr>
        <w:t>第四条</w:t>
      </w:r>
      <w:r>
        <w:rPr>
          <w:rFonts w:hint="eastAsia" w:ascii="宋体" w:hAnsi="宋体" w:cs="宋体"/>
          <w:sz w:val="28"/>
          <w:szCs w:val="28"/>
          <w:shd w:val="clear" w:color="auto" w:fill="FFFFFF"/>
        </w:rPr>
        <w:t xml:space="preserve"> 本基金会的财产及其它收入受国家法律保护，任何单位及个人不得侵占、私分和挪用。</w:t>
      </w:r>
    </w:p>
    <w:p w14:paraId="596FC30B">
      <w:pPr>
        <w:pStyle w:val="2"/>
        <w:spacing w:before="240" w:after="240" w:line="360" w:lineRule="auto"/>
        <w:jc w:val="center"/>
        <w:rPr>
          <w:sz w:val="32"/>
          <w:szCs w:val="32"/>
        </w:rPr>
      </w:pPr>
      <w:bookmarkStart w:id="2" w:name="_Toc49000426"/>
      <w:bookmarkStart w:id="3" w:name="_Toc48020113"/>
      <w:r>
        <w:rPr>
          <w:rFonts w:hint="eastAsia"/>
          <w:sz w:val="32"/>
          <w:szCs w:val="32"/>
        </w:rPr>
        <w:t>第二章</w:t>
      </w:r>
      <w:r>
        <w:rPr>
          <w:sz w:val="32"/>
          <w:szCs w:val="32"/>
        </w:rPr>
        <w:t xml:space="preserve"> </w:t>
      </w:r>
      <w:r>
        <w:rPr>
          <w:rFonts w:hint="eastAsia"/>
          <w:sz w:val="32"/>
          <w:szCs w:val="32"/>
        </w:rPr>
        <w:t>财务管理体制</w:t>
      </w:r>
      <w:bookmarkEnd w:id="2"/>
      <w:bookmarkEnd w:id="3"/>
    </w:p>
    <w:p w14:paraId="15B96541">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第五条</w:t>
      </w:r>
      <w:r>
        <w:rPr>
          <w:rFonts w:hint="eastAsia" w:ascii="宋体" w:hAnsi="宋体" w:cs="宋体"/>
          <w:sz w:val="28"/>
          <w:szCs w:val="28"/>
          <w:shd w:val="clear" w:color="auto" w:fill="FFFFFF"/>
        </w:rPr>
        <w:t xml:space="preserve"> 基金会的最高决策机构是理事会。理事会决定财务工作中的重大问题，财务日常管理工作由秘书处负责。</w:t>
      </w:r>
    </w:p>
    <w:p w14:paraId="5ED7288F">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第六条</w:t>
      </w:r>
      <w:r>
        <w:rPr>
          <w:rFonts w:hint="eastAsia" w:ascii="宋体" w:hAnsi="宋体" w:cs="宋体"/>
          <w:sz w:val="28"/>
          <w:szCs w:val="28"/>
          <w:shd w:val="clear" w:color="auto" w:fill="FFFFFF"/>
        </w:rPr>
        <w:t xml:space="preserve"> 基金会配备具有专业资格的会计人员，会计不得兼任出纳；会计人员必须按照《民间非营利组织会计制度》进行会计核算，实行会计监督；会计人员调动工作或离职时，必须与接管人员办理交接手续。</w:t>
      </w:r>
    </w:p>
    <w:p w14:paraId="4C2324E1">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第七条</w:t>
      </w:r>
      <w:r>
        <w:rPr>
          <w:rFonts w:hint="eastAsia" w:ascii="宋体" w:hAnsi="宋体" w:cs="宋体"/>
          <w:sz w:val="28"/>
          <w:szCs w:val="28"/>
          <w:shd w:val="clear" w:color="auto" w:fill="FFFFFF"/>
        </w:rPr>
        <w:t xml:space="preserve"> 基金会的财务活动严格遵守国家法律法规和有关规章制度，接受社会公众和政府有关部门的监督，每年接受财务审计。</w:t>
      </w:r>
    </w:p>
    <w:p w14:paraId="7CD43FD6">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第八条</w:t>
      </w:r>
      <w:r>
        <w:rPr>
          <w:rFonts w:hint="eastAsia" w:ascii="宋体" w:hAnsi="宋体" w:cs="宋体"/>
          <w:sz w:val="28"/>
          <w:szCs w:val="28"/>
          <w:shd w:val="clear" w:color="auto" w:fill="FFFFFF"/>
        </w:rPr>
        <w:t xml:space="preserve"> 基金会理事会换届和更换法定代表人之前，应当进行财务审计。</w:t>
      </w:r>
    </w:p>
    <w:p w14:paraId="028E4960">
      <w:pPr>
        <w:pStyle w:val="2"/>
        <w:spacing w:before="240" w:after="240" w:line="360" w:lineRule="auto"/>
        <w:jc w:val="center"/>
        <w:rPr>
          <w:sz w:val="32"/>
          <w:szCs w:val="32"/>
        </w:rPr>
      </w:pPr>
      <w:bookmarkStart w:id="4" w:name="_Toc48020114"/>
      <w:bookmarkStart w:id="5" w:name="_Toc49000427"/>
      <w:r>
        <w:rPr>
          <w:rFonts w:hint="eastAsia"/>
          <w:sz w:val="32"/>
          <w:szCs w:val="32"/>
        </w:rPr>
        <w:t>第三章</w:t>
      </w:r>
      <w:r>
        <w:rPr>
          <w:sz w:val="32"/>
          <w:szCs w:val="32"/>
        </w:rPr>
        <w:t xml:space="preserve"> </w:t>
      </w:r>
      <w:r>
        <w:rPr>
          <w:rFonts w:hint="eastAsia"/>
          <w:sz w:val="32"/>
          <w:szCs w:val="32"/>
        </w:rPr>
        <w:t>预算管理</w:t>
      </w:r>
      <w:bookmarkEnd w:id="4"/>
      <w:bookmarkEnd w:id="5"/>
    </w:p>
    <w:p w14:paraId="7825FF75">
      <w:pPr>
        <w:widowControl/>
        <w:spacing w:line="360" w:lineRule="auto"/>
        <w:ind w:firstLine="561" w:firstLineChars="200"/>
        <w:rPr>
          <w:rFonts w:ascii="宋体" w:hAnsi="宋体" w:cs="宋体"/>
          <w:sz w:val="28"/>
          <w:szCs w:val="28"/>
        </w:rPr>
      </w:pPr>
      <w:r>
        <w:rPr>
          <w:rFonts w:hint="eastAsia" w:ascii="宋体" w:hAnsi="宋体" w:cs="宋体"/>
          <w:b/>
          <w:bCs/>
          <w:sz w:val="28"/>
          <w:szCs w:val="28"/>
          <w:shd w:val="clear" w:color="auto" w:fill="FFFFFF"/>
        </w:rPr>
        <w:t>第九条</w:t>
      </w:r>
      <w:r>
        <w:rPr>
          <w:rFonts w:hint="eastAsia" w:ascii="宋体" w:hAnsi="宋体" w:cs="宋体"/>
          <w:sz w:val="28"/>
          <w:szCs w:val="28"/>
          <w:shd w:val="clear" w:color="auto" w:fill="FFFFFF"/>
        </w:rPr>
        <w:t xml:space="preserve"> 基金会年度预算是根据年度工作计划及历年支出情况编制的年度收支计划。</w:t>
      </w:r>
    </w:p>
    <w:p w14:paraId="569AFA8F">
      <w:pPr>
        <w:widowControl/>
        <w:spacing w:line="360" w:lineRule="auto"/>
        <w:ind w:firstLine="561" w:firstLineChars="200"/>
        <w:rPr>
          <w:rFonts w:ascii="宋体" w:hAnsi="宋体" w:cs="宋体"/>
          <w:sz w:val="28"/>
          <w:szCs w:val="28"/>
        </w:rPr>
      </w:pPr>
      <w:r>
        <w:rPr>
          <w:rFonts w:hint="eastAsia" w:ascii="宋体" w:hAnsi="宋体" w:cs="宋体"/>
          <w:b/>
          <w:bCs/>
          <w:sz w:val="28"/>
          <w:szCs w:val="28"/>
          <w:shd w:val="clear" w:color="auto" w:fill="FFFFFF"/>
        </w:rPr>
        <w:t>第十条 </w:t>
      </w:r>
      <w:r>
        <w:rPr>
          <w:rFonts w:hint="eastAsia" w:ascii="宋体" w:hAnsi="宋体" w:cs="宋体"/>
          <w:sz w:val="28"/>
          <w:szCs w:val="28"/>
          <w:shd w:val="clear" w:color="auto" w:fill="FFFFFF"/>
        </w:rPr>
        <w:t>预算由收入预算和费用预算组成：</w:t>
      </w:r>
    </w:p>
    <w:p w14:paraId="3205D858">
      <w:pPr>
        <w:widowControl/>
        <w:numPr>
          <w:ilvl w:val="0"/>
          <w:numId w:val="1"/>
        </w:numPr>
        <w:spacing w:line="360" w:lineRule="auto"/>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收入预算包括：捐赠收入、提供服务收入、政府补助收入、投资收益和其他收入；</w:t>
      </w:r>
    </w:p>
    <w:p w14:paraId="609615B7">
      <w:pPr>
        <w:widowControl/>
        <w:numPr>
          <w:ilvl w:val="0"/>
          <w:numId w:val="1"/>
        </w:numPr>
        <w:spacing w:line="360" w:lineRule="auto"/>
        <w:ind w:firstLine="560" w:firstLineChars="200"/>
        <w:rPr>
          <w:rFonts w:ascii="宋体" w:hAnsi="宋体" w:cs="宋体"/>
          <w:sz w:val="28"/>
          <w:szCs w:val="28"/>
        </w:rPr>
      </w:pPr>
      <w:r>
        <w:rPr>
          <w:rFonts w:hint="eastAsia" w:ascii="宋体" w:hAnsi="宋体" w:cs="宋体"/>
          <w:sz w:val="28"/>
          <w:szCs w:val="28"/>
          <w:shd w:val="clear" w:color="auto" w:fill="FFFFFF"/>
        </w:rPr>
        <w:t>费用预算包括：业务活动成本、管理费用、筹资费用和其他费用。</w:t>
      </w:r>
    </w:p>
    <w:p w14:paraId="4B917E08">
      <w:pPr>
        <w:widowControl/>
        <w:spacing w:line="360" w:lineRule="auto"/>
        <w:ind w:firstLine="561" w:firstLineChars="200"/>
        <w:rPr>
          <w:rFonts w:ascii="宋体" w:hAnsi="宋体" w:cs="宋体"/>
          <w:sz w:val="28"/>
          <w:szCs w:val="28"/>
        </w:rPr>
      </w:pPr>
      <w:r>
        <w:rPr>
          <w:rFonts w:hint="eastAsia" w:ascii="宋体" w:hAnsi="宋体" w:cs="宋体"/>
          <w:b/>
          <w:bCs/>
          <w:sz w:val="28"/>
          <w:szCs w:val="28"/>
          <w:shd w:val="clear" w:color="auto" w:fill="FFFFFF"/>
        </w:rPr>
        <w:t>第十一条</w:t>
      </w:r>
      <w:r>
        <w:rPr>
          <w:rFonts w:hint="eastAsia" w:ascii="宋体" w:hAnsi="宋体" w:cs="宋体"/>
          <w:sz w:val="28"/>
          <w:szCs w:val="28"/>
          <w:shd w:val="clear" w:color="auto" w:fill="FFFFFF"/>
        </w:rPr>
        <w:t xml:space="preserve"> 年度预算草案由</w:t>
      </w:r>
      <w:r>
        <w:rPr>
          <w:rFonts w:hint="eastAsia" w:ascii="宋体" w:hAnsi="宋体" w:cs="宋体"/>
          <w:sz w:val="28"/>
          <w:szCs w:val="28"/>
          <w:shd w:val="clear" w:color="auto" w:fill="FFFFFF"/>
          <w:lang w:eastAsia="zh-CN"/>
        </w:rPr>
        <w:t>计划财务部</w:t>
      </w:r>
      <w:r>
        <w:rPr>
          <w:rFonts w:hint="eastAsia" w:ascii="宋体" w:hAnsi="宋体" w:cs="宋体"/>
          <w:sz w:val="28"/>
          <w:szCs w:val="28"/>
          <w:shd w:val="clear" w:color="auto" w:fill="FFFFFF"/>
        </w:rPr>
        <w:t>门会同各部门进行编制,交</w:t>
      </w:r>
      <w:r>
        <w:rPr>
          <w:rFonts w:hint="eastAsia" w:ascii="宋体" w:hAnsi="宋体" w:cs="宋体"/>
          <w:sz w:val="28"/>
          <w:szCs w:val="28"/>
          <w:shd w:val="clear" w:color="auto" w:fill="FFFFFF"/>
          <w:lang w:eastAsia="zh-CN"/>
        </w:rPr>
        <w:t>计划计划财务部</w:t>
      </w:r>
      <w:r>
        <w:rPr>
          <w:rFonts w:hint="eastAsia" w:ascii="宋体" w:hAnsi="宋体" w:cs="宋体"/>
          <w:sz w:val="28"/>
          <w:szCs w:val="28"/>
          <w:shd w:val="clear" w:color="auto" w:fill="FFFFFF"/>
        </w:rPr>
        <w:t>汇总。经秘书处审核后，报理事会审议批准后执行。</w:t>
      </w:r>
    </w:p>
    <w:p w14:paraId="25DF03AB">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第十二条</w:t>
      </w:r>
      <w:r>
        <w:rPr>
          <w:rFonts w:hint="eastAsia" w:ascii="宋体" w:hAnsi="宋体" w:cs="宋体"/>
          <w:sz w:val="28"/>
          <w:szCs w:val="28"/>
          <w:shd w:val="clear" w:color="auto" w:fill="FFFFFF"/>
        </w:rPr>
        <w:t xml:space="preserve"> 各部门须严格执行财务预算，不得超预算或无预算安排支出。除因工作计划、工作内容或者人员发生较大变化，需调整预算外，对已经审批的预算一般不作调整。</w:t>
      </w:r>
    </w:p>
    <w:p w14:paraId="192B2812">
      <w:pPr>
        <w:widowControl/>
        <w:spacing w:line="360" w:lineRule="auto"/>
        <w:ind w:firstLine="561" w:firstLineChars="200"/>
        <w:rPr>
          <w:rFonts w:ascii="宋体" w:hAnsi="宋体" w:cs="宋体"/>
          <w:sz w:val="28"/>
          <w:szCs w:val="28"/>
        </w:rPr>
      </w:pPr>
      <w:r>
        <w:rPr>
          <w:rFonts w:hint="eastAsia" w:ascii="宋体" w:hAnsi="宋体" w:cs="宋体"/>
          <w:b/>
          <w:bCs/>
          <w:sz w:val="28"/>
          <w:szCs w:val="28"/>
          <w:shd w:val="clear" w:color="auto" w:fill="FFFFFF"/>
        </w:rPr>
        <w:t>第十三条</w:t>
      </w:r>
      <w:r>
        <w:rPr>
          <w:rFonts w:hint="eastAsia" w:ascii="宋体" w:hAnsi="宋体" w:cs="宋体"/>
          <w:sz w:val="28"/>
          <w:szCs w:val="28"/>
          <w:shd w:val="clear" w:color="auto" w:fill="FFFFFF"/>
        </w:rPr>
        <w:t xml:space="preserve"> 基金会每年用于从事章程规定的公益事业支出，不低于上一年总收入的70%；基金会工作人员工资福利和行政办公支出，不得超过当年总支出的10%。</w:t>
      </w:r>
    </w:p>
    <w:p w14:paraId="1C79C7C8">
      <w:pPr>
        <w:widowControl/>
        <w:spacing w:line="360" w:lineRule="auto"/>
        <w:ind w:firstLine="561" w:firstLineChars="200"/>
        <w:rPr>
          <w:rFonts w:ascii="宋体" w:hAnsi="宋体" w:cs="宋体"/>
          <w:sz w:val="28"/>
          <w:szCs w:val="28"/>
        </w:rPr>
      </w:pPr>
      <w:r>
        <w:rPr>
          <w:rFonts w:hint="eastAsia" w:ascii="宋体" w:hAnsi="宋体" w:cs="宋体"/>
          <w:b/>
          <w:bCs/>
          <w:sz w:val="28"/>
          <w:szCs w:val="28"/>
          <w:shd w:val="clear" w:color="auto" w:fill="FFFFFF"/>
        </w:rPr>
        <w:t>第十四条</w:t>
      </w:r>
      <w:r>
        <w:rPr>
          <w:rFonts w:hint="eastAsia" w:ascii="宋体" w:hAnsi="宋体" w:cs="宋体"/>
          <w:sz w:val="28"/>
          <w:szCs w:val="28"/>
          <w:shd w:val="clear" w:color="auto" w:fill="FFFFFF"/>
        </w:rPr>
        <w:t xml:space="preserve"> 基金会人员行政办公费、差旅费等日常支出，严格按照费用管理规范规定审批。</w:t>
      </w:r>
    </w:p>
    <w:p w14:paraId="2F3EDB7E">
      <w:pPr>
        <w:pStyle w:val="2"/>
        <w:spacing w:before="240" w:after="240" w:line="360" w:lineRule="auto"/>
        <w:jc w:val="center"/>
        <w:rPr>
          <w:sz w:val="32"/>
          <w:szCs w:val="32"/>
        </w:rPr>
      </w:pPr>
      <w:bookmarkStart w:id="6" w:name="_Toc48020115"/>
      <w:bookmarkStart w:id="7" w:name="_Toc49000428"/>
      <w:r>
        <w:rPr>
          <w:rFonts w:hint="eastAsia"/>
          <w:sz w:val="32"/>
          <w:szCs w:val="32"/>
        </w:rPr>
        <w:t>第四章 收入（捐赠）管理</w:t>
      </w:r>
      <w:bookmarkEnd w:id="6"/>
      <w:bookmarkEnd w:id="7"/>
    </w:p>
    <w:p w14:paraId="11FA4589">
      <w:pPr>
        <w:widowControl/>
        <w:spacing w:line="360" w:lineRule="auto"/>
        <w:ind w:firstLine="561" w:firstLineChars="200"/>
        <w:rPr>
          <w:rFonts w:ascii="宋体" w:hAnsi="宋体" w:cs="宋体"/>
          <w:sz w:val="28"/>
          <w:szCs w:val="28"/>
        </w:rPr>
      </w:pPr>
      <w:r>
        <w:rPr>
          <w:rFonts w:hint="eastAsia" w:ascii="宋体" w:hAnsi="宋体" w:cs="宋体"/>
          <w:b/>
          <w:bCs/>
          <w:sz w:val="28"/>
          <w:szCs w:val="28"/>
          <w:shd w:val="clear" w:color="auto" w:fill="FFFFFF"/>
        </w:rPr>
        <w:t>第十五条</w:t>
      </w:r>
      <w:r>
        <w:rPr>
          <w:rFonts w:hint="eastAsia" w:ascii="宋体" w:hAnsi="宋体" w:cs="宋体"/>
          <w:sz w:val="28"/>
          <w:szCs w:val="28"/>
          <w:shd w:val="clear" w:color="auto" w:fill="FFFFFF"/>
        </w:rPr>
        <w:t xml:space="preserve"> 基金会接受捐赠的现金财产，或以拍卖捐赠物品等方式收到的现金资产，应按进入本基金会银行账户的实际到账额计算；接收的外币捐赠须建外币账户进行明细核算。捐赠款实行统收、统支，统一管理。</w:t>
      </w:r>
    </w:p>
    <w:p w14:paraId="60535AC3">
      <w:pPr>
        <w:widowControl/>
        <w:spacing w:line="360" w:lineRule="auto"/>
        <w:ind w:firstLine="561" w:firstLineChars="200"/>
        <w:rPr>
          <w:rFonts w:ascii="宋体" w:hAnsi="宋体" w:cs="宋体"/>
          <w:sz w:val="28"/>
          <w:szCs w:val="28"/>
        </w:rPr>
      </w:pPr>
      <w:r>
        <w:rPr>
          <w:rFonts w:hint="eastAsia" w:ascii="宋体" w:hAnsi="宋体" w:cs="宋体"/>
          <w:b/>
          <w:bCs/>
          <w:sz w:val="28"/>
          <w:szCs w:val="28"/>
          <w:shd w:val="clear" w:color="auto" w:fill="FFFFFF"/>
        </w:rPr>
        <w:t>第十六条</w:t>
      </w:r>
      <w:r>
        <w:rPr>
          <w:rFonts w:hint="eastAsia" w:ascii="宋体" w:hAnsi="宋体" w:cs="宋体"/>
          <w:sz w:val="28"/>
          <w:szCs w:val="28"/>
          <w:shd w:val="clear" w:color="auto" w:fill="FFFFFF"/>
        </w:rPr>
        <w:t xml:space="preserve"> 基金会接受的每笔捐赠款都必须开具捐赠收据，设置台账，按捐赠发生顺序逐日逐笔记载，不得遗漏。</w:t>
      </w:r>
    </w:p>
    <w:p w14:paraId="3D092BB0">
      <w:pPr>
        <w:widowControl/>
        <w:spacing w:line="360" w:lineRule="auto"/>
        <w:ind w:firstLine="561" w:firstLineChars="200"/>
        <w:rPr>
          <w:rFonts w:ascii="宋体" w:hAnsi="宋体" w:cs="宋体"/>
          <w:sz w:val="28"/>
          <w:szCs w:val="28"/>
        </w:rPr>
      </w:pPr>
      <w:r>
        <w:rPr>
          <w:rFonts w:hint="eastAsia" w:ascii="宋体" w:hAnsi="宋体" w:cs="宋体"/>
          <w:b/>
          <w:bCs/>
          <w:sz w:val="28"/>
          <w:szCs w:val="28"/>
          <w:shd w:val="clear" w:color="auto" w:fill="FFFFFF"/>
        </w:rPr>
        <w:t>第十七条</w:t>
      </w:r>
      <w:r>
        <w:rPr>
          <w:rFonts w:hint="eastAsia" w:ascii="宋体" w:hAnsi="宋体" w:cs="宋体"/>
          <w:sz w:val="28"/>
          <w:szCs w:val="28"/>
          <w:shd w:val="clear" w:color="auto" w:fill="FFFFFF"/>
        </w:rPr>
        <w:t xml:space="preserve"> 基金会与捐赠人订立了捐赠协议，或捐赠者有指定用途的，应按捐赠约定和捐赠者意愿使用捐赠资产，不得擅自改变原定用途。如确需改变用途的，应当事先征得捐助人的允许。</w:t>
      </w:r>
    </w:p>
    <w:p w14:paraId="3CA19EC7">
      <w:pPr>
        <w:widowControl/>
        <w:spacing w:line="360" w:lineRule="auto"/>
        <w:ind w:firstLine="561" w:firstLineChars="200"/>
        <w:rPr>
          <w:rFonts w:ascii="宋体" w:hAnsi="宋体" w:cs="宋体"/>
          <w:sz w:val="28"/>
          <w:szCs w:val="28"/>
        </w:rPr>
      </w:pPr>
      <w:r>
        <w:rPr>
          <w:rFonts w:hint="eastAsia" w:ascii="宋体" w:hAnsi="宋体" w:cs="宋体"/>
          <w:b/>
          <w:bCs/>
          <w:sz w:val="28"/>
          <w:szCs w:val="28"/>
          <w:shd w:val="clear" w:color="auto" w:fill="FFFFFF"/>
        </w:rPr>
        <w:t>第十八条</w:t>
      </w:r>
      <w:r>
        <w:rPr>
          <w:rFonts w:hint="eastAsia" w:ascii="宋体" w:hAnsi="宋体" w:cs="宋体"/>
          <w:sz w:val="28"/>
          <w:szCs w:val="28"/>
          <w:shd w:val="clear" w:color="auto" w:fill="FFFFFF"/>
        </w:rPr>
        <w:t xml:space="preserve"> 捐赠款实行财务公开。基金会接受国家有关部门、社会组织、媒体和捐助者本人的查询、监督和审计。</w:t>
      </w:r>
    </w:p>
    <w:p w14:paraId="62B45AFE">
      <w:pPr>
        <w:widowControl/>
        <w:spacing w:line="360" w:lineRule="auto"/>
        <w:ind w:firstLine="561" w:firstLineChars="200"/>
        <w:rPr>
          <w:rFonts w:ascii="宋体" w:hAnsi="宋体" w:cs="宋体"/>
          <w:sz w:val="28"/>
          <w:szCs w:val="28"/>
        </w:rPr>
      </w:pPr>
      <w:r>
        <w:rPr>
          <w:rFonts w:hint="eastAsia" w:ascii="宋体" w:hAnsi="宋体" w:cs="宋体"/>
          <w:b/>
          <w:bCs/>
          <w:sz w:val="28"/>
          <w:szCs w:val="28"/>
          <w:shd w:val="clear" w:color="auto" w:fill="FFFFFF"/>
        </w:rPr>
        <w:t>第十九条</w:t>
      </w:r>
      <w:r>
        <w:rPr>
          <w:rFonts w:hint="eastAsia" w:ascii="宋体" w:hAnsi="宋体" w:cs="宋体"/>
          <w:sz w:val="28"/>
          <w:szCs w:val="28"/>
          <w:shd w:val="clear" w:color="auto" w:fill="FFFFFF"/>
        </w:rPr>
        <w:t xml:space="preserve"> 各项收入均归口</w:t>
      </w:r>
      <w:r>
        <w:rPr>
          <w:rFonts w:hint="eastAsia" w:ascii="宋体" w:hAnsi="宋体" w:cs="宋体"/>
          <w:sz w:val="28"/>
          <w:szCs w:val="28"/>
          <w:shd w:val="clear" w:color="auto" w:fill="FFFFFF"/>
          <w:lang w:eastAsia="zh-CN"/>
        </w:rPr>
        <w:t>计划财务部</w:t>
      </w:r>
      <w:r>
        <w:rPr>
          <w:rFonts w:hint="eastAsia" w:ascii="宋体" w:hAnsi="宋体" w:cs="宋体"/>
          <w:sz w:val="28"/>
          <w:szCs w:val="28"/>
          <w:shd w:val="clear" w:color="auto" w:fill="FFFFFF"/>
        </w:rPr>
        <w:t>门统一管理和核算，严格捐赠票据及其他票据的使用和签发。</w:t>
      </w:r>
    </w:p>
    <w:p w14:paraId="099DF101">
      <w:pPr>
        <w:pStyle w:val="2"/>
        <w:spacing w:before="240" w:after="240" w:line="360" w:lineRule="auto"/>
        <w:jc w:val="center"/>
        <w:rPr>
          <w:sz w:val="32"/>
          <w:szCs w:val="32"/>
        </w:rPr>
      </w:pPr>
      <w:bookmarkStart w:id="8" w:name="_Toc49000429"/>
      <w:bookmarkStart w:id="9" w:name="_Toc48020116"/>
      <w:r>
        <w:rPr>
          <w:rFonts w:hint="eastAsia"/>
          <w:sz w:val="32"/>
          <w:szCs w:val="32"/>
        </w:rPr>
        <w:t>第五章 现金管理</w:t>
      </w:r>
      <w:bookmarkEnd w:id="8"/>
      <w:bookmarkEnd w:id="9"/>
    </w:p>
    <w:p w14:paraId="2FC5001C">
      <w:pPr>
        <w:widowControl/>
        <w:spacing w:line="360" w:lineRule="auto"/>
        <w:ind w:left="420" w:leftChars="200" w:right="147" w:firstLine="200"/>
        <w:rPr>
          <w:rFonts w:ascii="宋体" w:hAnsi="宋体" w:cs="宋体"/>
          <w:sz w:val="28"/>
          <w:szCs w:val="28"/>
          <w:shd w:val="clear" w:color="auto" w:fill="FFFFFF"/>
        </w:rPr>
      </w:pPr>
      <w:r>
        <w:rPr>
          <w:rFonts w:hint="eastAsia" w:ascii="宋体" w:hAnsi="宋体" w:cs="宋体"/>
          <w:b/>
          <w:bCs/>
          <w:sz w:val="28"/>
          <w:szCs w:val="28"/>
          <w:shd w:val="clear" w:color="auto" w:fill="FFFFFF"/>
        </w:rPr>
        <w:t>第二十条</w:t>
      </w:r>
      <w:r>
        <w:rPr>
          <w:rFonts w:hint="eastAsia" w:ascii="宋体" w:hAnsi="宋体" w:cs="宋体"/>
          <w:sz w:val="28"/>
          <w:szCs w:val="28"/>
          <w:shd w:val="clear" w:color="auto" w:fill="FFFFFF"/>
        </w:rPr>
        <w:t xml:space="preserve"> 现金开支范围与标准：</w:t>
      </w:r>
    </w:p>
    <w:p w14:paraId="4C50C5E3">
      <w:pPr>
        <w:widowControl/>
        <w:spacing w:line="360" w:lineRule="auto"/>
        <w:ind w:right="147"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现金开支包括：</w:t>
      </w:r>
    </w:p>
    <w:p w14:paraId="77A9E88D">
      <w:pPr>
        <w:widowControl/>
        <w:numPr>
          <w:ilvl w:val="0"/>
          <w:numId w:val="2"/>
        </w:numPr>
        <w:spacing w:line="360" w:lineRule="auto"/>
        <w:ind w:right="147"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职工工资、津贴、奖金、劳务、志愿者补贴等人力支</w:t>
      </w:r>
      <w:r>
        <w:rPr>
          <w:rFonts w:hint="eastAsia" w:ascii="宋体" w:hAnsi="宋体" w:cs="宋体"/>
          <w:sz w:val="28"/>
          <w:szCs w:val="28"/>
          <w:shd w:val="clear" w:color="auto" w:fill="FFFFFF"/>
          <w:lang w:val="en-US" w:eastAsia="zh-CN"/>
        </w:rPr>
        <w:t>出；</w:t>
      </w:r>
    </w:p>
    <w:p w14:paraId="29C74A08">
      <w:pPr>
        <w:widowControl/>
        <w:numPr>
          <w:ilvl w:val="0"/>
          <w:numId w:val="2"/>
        </w:numPr>
        <w:spacing w:line="360" w:lineRule="auto"/>
        <w:ind w:right="147"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因公出差必带的差旅费借支；</w:t>
      </w:r>
    </w:p>
    <w:p w14:paraId="3DA7AB38">
      <w:pPr>
        <w:widowControl/>
        <w:numPr>
          <w:ilvl w:val="0"/>
          <w:numId w:val="2"/>
        </w:numPr>
        <w:spacing w:line="360" w:lineRule="auto"/>
        <w:ind w:right="147"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日常办公、办公用品购买不能以支票支付的开支；</w:t>
      </w:r>
    </w:p>
    <w:p w14:paraId="05B2E41C">
      <w:pPr>
        <w:widowControl/>
        <w:numPr>
          <w:ilvl w:val="0"/>
          <w:numId w:val="2"/>
        </w:numPr>
        <w:spacing w:line="360" w:lineRule="auto"/>
        <w:ind w:right="147" w:firstLine="560" w:firstLineChars="200"/>
        <w:rPr>
          <w:rFonts w:ascii="宋体" w:hAnsi="宋体" w:cs="宋体"/>
          <w:sz w:val="28"/>
          <w:szCs w:val="28"/>
        </w:rPr>
      </w:pPr>
      <w:r>
        <w:rPr>
          <w:rFonts w:hint="eastAsia" w:ascii="宋体" w:hAnsi="宋体" w:cs="宋体"/>
          <w:sz w:val="28"/>
          <w:szCs w:val="28"/>
          <w:shd w:val="clear" w:color="auto" w:fill="FFFFFF"/>
        </w:rPr>
        <w:t>秘书处批准的其他现金开支。</w:t>
      </w:r>
    </w:p>
    <w:p w14:paraId="4BDC84AF">
      <w:pPr>
        <w:widowControl/>
        <w:numPr>
          <w:numId w:val="0"/>
        </w:numPr>
        <w:spacing w:line="360" w:lineRule="auto"/>
        <w:ind w:right="147" w:rightChars="0" w:firstLine="560" w:firstLineChars="200"/>
        <w:rPr>
          <w:rFonts w:ascii="宋体" w:hAnsi="宋体" w:cs="宋体"/>
          <w:sz w:val="28"/>
          <w:szCs w:val="28"/>
        </w:rPr>
      </w:pPr>
      <w:r>
        <w:rPr>
          <w:rFonts w:hint="eastAsia" w:ascii="宋体" w:hAnsi="宋体" w:cs="宋体"/>
          <w:sz w:val="28"/>
          <w:szCs w:val="28"/>
          <w:shd w:val="clear" w:color="auto" w:fill="FFFFFF"/>
        </w:rPr>
        <w:t>现金开支标准：凡基金会已制定了开支标准，按基金会标准执行；基金会没有制定开支标准，按国家相关标准执行。</w:t>
      </w:r>
    </w:p>
    <w:p w14:paraId="2042AEE5">
      <w:pPr>
        <w:widowControl/>
        <w:spacing w:line="360" w:lineRule="auto"/>
        <w:ind w:right="150" w:firstLine="561" w:firstLineChars="200"/>
        <w:rPr>
          <w:rFonts w:ascii="宋体" w:hAnsi="宋体" w:cs="宋体"/>
          <w:sz w:val="28"/>
          <w:szCs w:val="28"/>
        </w:rPr>
      </w:pPr>
      <w:r>
        <w:rPr>
          <w:rFonts w:hint="eastAsia" w:ascii="宋体" w:hAnsi="宋体" w:cs="宋体"/>
          <w:b/>
          <w:bCs/>
          <w:sz w:val="28"/>
          <w:szCs w:val="28"/>
          <w:shd w:val="clear" w:color="auto" w:fill="FFFFFF"/>
        </w:rPr>
        <w:t>第二十一条</w:t>
      </w:r>
      <w:r>
        <w:rPr>
          <w:rFonts w:hint="eastAsia" w:ascii="宋体" w:hAnsi="宋体" w:cs="宋体"/>
          <w:sz w:val="28"/>
          <w:szCs w:val="28"/>
          <w:shd w:val="clear" w:color="auto" w:fill="FFFFFF"/>
        </w:rPr>
        <w:t xml:space="preserve"> 现金借款必须遵循以下程序:</w:t>
      </w:r>
    </w:p>
    <w:p w14:paraId="2D6FC146">
      <w:pPr>
        <w:widowControl/>
        <w:numPr>
          <w:ilvl w:val="0"/>
          <w:numId w:val="3"/>
        </w:numPr>
        <w:spacing w:line="360" w:lineRule="auto"/>
        <w:ind w:right="147"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填写借款单。借款人要注明借款事由及借款数额；</w:t>
      </w:r>
    </w:p>
    <w:p w14:paraId="4DDF25D3">
      <w:pPr>
        <w:widowControl/>
        <w:numPr>
          <w:ilvl w:val="0"/>
          <w:numId w:val="3"/>
        </w:numPr>
        <w:spacing w:line="360" w:lineRule="auto"/>
        <w:ind w:right="147" w:firstLine="560" w:firstLineChars="200"/>
        <w:rPr>
          <w:rFonts w:ascii="宋体" w:hAnsi="宋体" w:cs="宋体"/>
          <w:sz w:val="28"/>
          <w:szCs w:val="28"/>
        </w:rPr>
      </w:pPr>
      <w:r>
        <w:rPr>
          <w:rFonts w:hint="eastAsia" w:ascii="宋体" w:hAnsi="宋体" w:cs="宋体"/>
          <w:sz w:val="28"/>
          <w:szCs w:val="28"/>
          <w:shd w:val="clear" w:color="auto" w:fill="FFFFFF"/>
        </w:rPr>
        <w:t>领导审批。借款单先由借款人经部门主管签字批准，再由秘书长或理事长审批签字；</w:t>
      </w:r>
    </w:p>
    <w:p w14:paraId="63D147DF">
      <w:pPr>
        <w:widowControl/>
        <w:numPr>
          <w:ilvl w:val="0"/>
          <w:numId w:val="3"/>
        </w:numPr>
        <w:spacing w:line="360" w:lineRule="auto"/>
        <w:ind w:right="147" w:firstLine="560" w:firstLineChars="200"/>
        <w:rPr>
          <w:rFonts w:ascii="宋体" w:hAnsi="宋体" w:cs="宋体"/>
          <w:sz w:val="28"/>
          <w:szCs w:val="28"/>
        </w:rPr>
      </w:pPr>
      <w:r>
        <w:rPr>
          <w:rFonts w:hint="eastAsia" w:ascii="宋体" w:hAnsi="宋体" w:cs="宋体"/>
          <w:sz w:val="28"/>
          <w:szCs w:val="28"/>
          <w:shd w:val="clear" w:color="auto" w:fill="FFFFFF"/>
        </w:rPr>
        <w:t>借款人执现金借款审批单到财务办理借款手续。对于3000元以上的现金借支，借款人须提前2个工作日告知财务。</w:t>
      </w:r>
    </w:p>
    <w:p w14:paraId="0A704419">
      <w:pPr>
        <w:widowControl/>
        <w:spacing w:line="360" w:lineRule="auto"/>
        <w:ind w:right="147" w:firstLine="561" w:firstLineChars="200"/>
        <w:rPr>
          <w:rFonts w:ascii="宋体" w:hAnsi="宋体" w:cs="宋体"/>
          <w:sz w:val="28"/>
          <w:szCs w:val="28"/>
        </w:rPr>
      </w:pPr>
      <w:r>
        <w:rPr>
          <w:rFonts w:hint="eastAsia" w:ascii="宋体" w:hAnsi="宋体" w:cs="宋体"/>
          <w:b/>
          <w:bCs/>
          <w:sz w:val="28"/>
          <w:szCs w:val="28"/>
          <w:shd w:val="clear" w:color="auto" w:fill="FFFFFF"/>
        </w:rPr>
        <w:t>第二十二条</w:t>
      </w:r>
      <w:r>
        <w:rPr>
          <w:rFonts w:hint="eastAsia" w:ascii="宋体" w:hAnsi="宋体" w:cs="宋体"/>
          <w:sz w:val="28"/>
          <w:szCs w:val="28"/>
          <w:shd w:val="clear" w:color="auto" w:fill="FFFFFF"/>
        </w:rPr>
        <w:t xml:space="preserve"> 现金报销必须遵循以下程序:</w:t>
      </w:r>
    </w:p>
    <w:p w14:paraId="73A6D9CF">
      <w:pPr>
        <w:widowControl/>
        <w:numPr>
          <w:ilvl w:val="0"/>
          <w:numId w:val="4"/>
        </w:numPr>
        <w:spacing w:line="360" w:lineRule="auto"/>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填写凭单。借款人将用于报销的发票粘贴于报销凭证单上。用碳素笔整齐地写明金额、用途、本人签名，不得他人代签。原始凭证不许涂改；报销的发票中，大写小写金额要一致；发票中报销单位名称有误或印章模糊不清均视为无效发票；收据和往来票证不能作为报销凭证，一律不予报销；</w:t>
      </w:r>
    </w:p>
    <w:p w14:paraId="35AD5B6B">
      <w:pPr>
        <w:widowControl/>
        <w:numPr>
          <w:ilvl w:val="0"/>
          <w:numId w:val="4"/>
        </w:numPr>
        <w:spacing w:line="360" w:lineRule="auto"/>
        <w:ind w:firstLine="560" w:firstLineChars="200"/>
        <w:rPr>
          <w:rFonts w:ascii="宋体" w:hAnsi="宋体" w:cs="宋体"/>
          <w:sz w:val="28"/>
          <w:szCs w:val="28"/>
        </w:rPr>
      </w:pPr>
      <w:r>
        <w:rPr>
          <w:rFonts w:hint="eastAsia" w:ascii="宋体" w:hAnsi="宋体" w:cs="宋体"/>
          <w:sz w:val="28"/>
          <w:szCs w:val="28"/>
          <w:shd w:val="clear" w:color="auto" w:fill="FFFFFF"/>
        </w:rPr>
        <w:t>领导审批。借款人执报销凭单，先经部门主管审批，再由秘书长或理事长审批后方可报销。</w:t>
      </w:r>
    </w:p>
    <w:p w14:paraId="20BC86D4">
      <w:pPr>
        <w:pStyle w:val="2"/>
        <w:spacing w:before="240" w:after="240" w:line="360" w:lineRule="auto"/>
        <w:jc w:val="center"/>
        <w:rPr>
          <w:sz w:val="32"/>
          <w:szCs w:val="32"/>
        </w:rPr>
      </w:pPr>
      <w:bookmarkStart w:id="10" w:name="_Toc48020117"/>
      <w:bookmarkStart w:id="11" w:name="_Toc49000430"/>
      <w:r>
        <w:rPr>
          <w:rFonts w:hint="eastAsia"/>
          <w:sz w:val="32"/>
          <w:szCs w:val="32"/>
        </w:rPr>
        <w:t>第六章</w:t>
      </w:r>
      <w:r>
        <w:rPr>
          <w:sz w:val="32"/>
          <w:szCs w:val="32"/>
        </w:rPr>
        <w:t xml:space="preserve"> </w:t>
      </w:r>
      <w:r>
        <w:rPr>
          <w:rFonts w:hint="eastAsia"/>
          <w:sz w:val="32"/>
          <w:szCs w:val="32"/>
        </w:rPr>
        <w:t>支票管理</w:t>
      </w:r>
      <w:bookmarkEnd w:id="10"/>
      <w:bookmarkEnd w:id="11"/>
    </w:p>
    <w:p w14:paraId="104ADFF8">
      <w:pPr>
        <w:widowControl/>
        <w:spacing w:line="360" w:lineRule="auto"/>
        <w:ind w:firstLine="561" w:firstLineChars="200"/>
        <w:rPr>
          <w:rFonts w:hint="eastAsia" w:ascii="宋体" w:hAnsi="宋体" w:cs="宋体"/>
          <w:sz w:val="28"/>
          <w:szCs w:val="28"/>
          <w:shd w:val="clear" w:color="auto" w:fill="FFFFFF"/>
        </w:rPr>
      </w:pPr>
      <w:r>
        <w:rPr>
          <w:rFonts w:hint="eastAsia" w:ascii="宋体" w:hAnsi="宋体" w:cs="宋体"/>
          <w:b/>
          <w:bCs/>
          <w:sz w:val="28"/>
          <w:szCs w:val="28"/>
          <w:shd w:val="clear" w:color="auto" w:fill="FFFFFF"/>
        </w:rPr>
        <w:t>第二十三条</w:t>
      </w:r>
      <w:r>
        <w:rPr>
          <w:rFonts w:hint="eastAsia" w:ascii="宋体" w:hAnsi="宋体" w:cs="宋体"/>
          <w:sz w:val="28"/>
          <w:szCs w:val="28"/>
          <w:shd w:val="clear" w:color="auto" w:fill="FFFFFF"/>
        </w:rPr>
        <w:t xml:space="preserve"> 借款领取支票必须遵循以下程序：</w:t>
      </w:r>
    </w:p>
    <w:p w14:paraId="4A9E087B">
      <w:pPr>
        <w:widowControl/>
        <w:numPr>
          <w:ilvl w:val="0"/>
          <w:numId w:val="5"/>
        </w:numPr>
        <w:spacing w:line="360" w:lineRule="auto"/>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借款人须填写支票领用单，逐项认真填写。经部门主管签字，再由秘书长或理事长审批签字；</w:t>
      </w:r>
    </w:p>
    <w:p w14:paraId="0B9A69CE">
      <w:pPr>
        <w:widowControl/>
        <w:numPr>
          <w:ilvl w:val="0"/>
          <w:numId w:val="5"/>
        </w:numPr>
        <w:spacing w:line="360" w:lineRule="auto"/>
        <w:ind w:firstLine="560" w:firstLineChars="200"/>
        <w:rPr>
          <w:rFonts w:ascii="宋体" w:hAnsi="宋体" w:cs="宋体"/>
          <w:sz w:val="28"/>
          <w:szCs w:val="28"/>
        </w:rPr>
      </w:pPr>
      <w:r>
        <w:rPr>
          <w:rFonts w:hint="eastAsia" w:ascii="宋体" w:hAnsi="宋体" w:cs="宋体"/>
          <w:sz w:val="28"/>
          <w:szCs w:val="28"/>
          <w:shd w:val="clear" w:color="auto" w:fill="FFFFFF"/>
        </w:rPr>
        <w:t>财务人员核实支票领用单后，按支票票面项目填写，须经领导批准后方可签发；</w:t>
      </w:r>
    </w:p>
    <w:p w14:paraId="0177D30A">
      <w:pPr>
        <w:widowControl/>
        <w:numPr>
          <w:ilvl w:val="0"/>
          <w:numId w:val="5"/>
        </w:numPr>
        <w:spacing w:line="360" w:lineRule="auto"/>
        <w:ind w:firstLine="560" w:firstLineChars="200"/>
        <w:rPr>
          <w:rFonts w:ascii="宋体" w:hAnsi="宋体" w:cs="宋体"/>
          <w:sz w:val="28"/>
          <w:szCs w:val="28"/>
        </w:rPr>
      </w:pPr>
      <w:r>
        <w:rPr>
          <w:rFonts w:hint="eastAsia" w:ascii="宋体" w:hAnsi="宋体" w:cs="宋体"/>
          <w:sz w:val="28"/>
          <w:szCs w:val="28"/>
          <w:shd w:val="clear" w:color="auto" w:fill="FFFFFF"/>
        </w:rPr>
        <w:t>领取支票者在支票领取薄上登记并签字。</w:t>
      </w:r>
    </w:p>
    <w:p w14:paraId="7639DA34">
      <w:pPr>
        <w:widowControl/>
        <w:spacing w:line="360" w:lineRule="auto"/>
        <w:ind w:firstLine="561" w:firstLineChars="200"/>
        <w:rPr>
          <w:rFonts w:ascii="宋体" w:hAnsi="宋体" w:cs="宋体"/>
          <w:sz w:val="28"/>
          <w:szCs w:val="28"/>
        </w:rPr>
      </w:pPr>
      <w:r>
        <w:rPr>
          <w:rFonts w:hint="eastAsia" w:ascii="宋体" w:hAnsi="宋体" w:cs="宋体"/>
          <w:b/>
          <w:bCs/>
          <w:sz w:val="28"/>
          <w:szCs w:val="28"/>
          <w:shd w:val="clear" w:color="auto" w:fill="FFFFFF"/>
        </w:rPr>
        <w:t>第二十四条</w:t>
      </w:r>
      <w:r>
        <w:rPr>
          <w:rFonts w:hint="eastAsia" w:ascii="宋体" w:hAnsi="宋体" w:cs="宋体"/>
          <w:sz w:val="28"/>
          <w:szCs w:val="28"/>
          <w:shd w:val="clear" w:color="auto" w:fill="FFFFFF"/>
        </w:rPr>
        <w:t xml:space="preserve"> 经办人员在借领支票后，及时报账。</w:t>
      </w:r>
    </w:p>
    <w:p w14:paraId="255D8FE0">
      <w:pPr>
        <w:pStyle w:val="2"/>
        <w:spacing w:before="240" w:after="240" w:line="360" w:lineRule="auto"/>
        <w:jc w:val="center"/>
        <w:rPr>
          <w:sz w:val="32"/>
          <w:szCs w:val="32"/>
        </w:rPr>
      </w:pPr>
      <w:bookmarkStart w:id="12" w:name="_Toc48020118"/>
      <w:bookmarkStart w:id="13" w:name="_Toc49000431"/>
      <w:r>
        <w:rPr>
          <w:rFonts w:hint="eastAsia"/>
          <w:sz w:val="32"/>
          <w:szCs w:val="32"/>
        </w:rPr>
        <w:t>第七章</w:t>
      </w:r>
      <w:r>
        <w:rPr>
          <w:sz w:val="32"/>
          <w:szCs w:val="32"/>
        </w:rPr>
        <w:t xml:space="preserve"> </w:t>
      </w:r>
      <w:r>
        <w:rPr>
          <w:rFonts w:hint="eastAsia"/>
          <w:sz w:val="32"/>
          <w:szCs w:val="32"/>
        </w:rPr>
        <w:t>成本管理</w:t>
      </w:r>
      <w:bookmarkEnd w:id="12"/>
      <w:bookmarkEnd w:id="13"/>
    </w:p>
    <w:p w14:paraId="2933519F">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第二十五条</w:t>
      </w:r>
      <w:r>
        <w:rPr>
          <w:rFonts w:hint="eastAsia" w:ascii="宋体" w:hAnsi="宋体" w:cs="宋体"/>
          <w:sz w:val="28"/>
          <w:szCs w:val="28"/>
          <w:shd w:val="clear" w:color="auto" w:fill="FFFFFF"/>
        </w:rPr>
        <w:t xml:space="preserve"> 成本核算的基本任务是反映项目管理、执行和服务过程中的各项耗费，合理安排使用人力、物力、财力，降低成本（费用），改善项目管理，为公益事业发展建立良好的基础。</w:t>
      </w:r>
    </w:p>
    <w:p w14:paraId="417E4564">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第二十六条</w:t>
      </w:r>
      <w:r>
        <w:rPr>
          <w:rFonts w:hint="eastAsia" w:ascii="宋体" w:hAnsi="宋体" w:cs="宋体"/>
          <w:sz w:val="28"/>
          <w:szCs w:val="28"/>
          <w:shd w:val="clear" w:color="auto" w:fill="FFFFFF"/>
        </w:rPr>
        <w:t xml:space="preserve"> 成本（费用）一般包括项目资助成本、项目服务成本、管理费用和筹资费用。</w:t>
      </w:r>
      <w:r>
        <w:rPr>
          <w:rFonts w:hint="eastAsia" w:ascii="宋体" w:hAnsi="宋体" w:cs="宋体"/>
          <w:sz w:val="28"/>
          <w:szCs w:val="28"/>
          <w:shd w:val="clear" w:color="auto" w:fill="FFFFFF"/>
          <w:lang w:eastAsia="zh-CN"/>
        </w:rPr>
        <w:t>计划财务部</w:t>
      </w:r>
      <w:r>
        <w:rPr>
          <w:rFonts w:hint="eastAsia" w:ascii="宋体" w:hAnsi="宋体" w:cs="宋体"/>
          <w:sz w:val="28"/>
          <w:szCs w:val="28"/>
          <w:shd w:val="clear" w:color="auto" w:fill="FFFFFF"/>
        </w:rPr>
        <w:t>门根据《民间非营利组织会计制度》制定相应的成本费用核算办法，建立和健全项目成本（费用）核算制度。</w:t>
      </w:r>
    </w:p>
    <w:p w14:paraId="4AE5C2F4">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第二十七条</w:t>
      </w:r>
      <w:r>
        <w:rPr>
          <w:rFonts w:hint="eastAsia" w:ascii="宋体" w:hAnsi="宋体" w:cs="宋体"/>
          <w:sz w:val="28"/>
          <w:szCs w:val="28"/>
          <w:shd w:val="clear" w:color="auto" w:fill="FFFFFF"/>
        </w:rPr>
        <w:t xml:space="preserve"> 有关成本（费用）核算的原始记录、凭证等资料，内容必须完整、真实，记载和编制必须及时，必须如实反映项目在管理和服务过程中的各种耗费。</w:t>
      </w:r>
    </w:p>
    <w:p w14:paraId="10D90AAA">
      <w:pPr>
        <w:widowControl/>
        <w:spacing w:line="360" w:lineRule="auto"/>
        <w:ind w:firstLine="561" w:firstLineChars="200"/>
        <w:rPr>
          <w:rFonts w:ascii="宋体" w:hAnsi="宋体" w:cs="宋体"/>
          <w:sz w:val="28"/>
          <w:szCs w:val="28"/>
        </w:rPr>
      </w:pPr>
      <w:r>
        <w:rPr>
          <w:rFonts w:hint="eastAsia" w:ascii="宋体" w:hAnsi="宋体" w:cs="宋体"/>
          <w:b/>
          <w:bCs/>
          <w:sz w:val="28"/>
          <w:szCs w:val="28"/>
          <w:shd w:val="clear" w:color="auto" w:fill="FFFFFF"/>
        </w:rPr>
        <w:t>第二十八条</w:t>
      </w:r>
      <w:r>
        <w:rPr>
          <w:rFonts w:hint="eastAsia" w:ascii="宋体" w:hAnsi="宋体" w:cs="宋体"/>
          <w:sz w:val="28"/>
          <w:szCs w:val="28"/>
          <w:shd w:val="clear" w:color="auto" w:fill="FFFFFF"/>
        </w:rPr>
        <w:t xml:space="preserve"> 因项目策划、信息沟通、捐赠服务及捐款筹集等，需向捐赠人提供项目或活动成本估算，由</w:t>
      </w:r>
      <w:r>
        <w:rPr>
          <w:rFonts w:hint="eastAsia" w:ascii="宋体" w:hAnsi="宋体" w:cs="宋体"/>
          <w:sz w:val="28"/>
          <w:szCs w:val="28"/>
          <w:shd w:val="clear" w:color="auto" w:fill="FFFFFF"/>
          <w:lang w:eastAsia="zh-CN"/>
        </w:rPr>
        <w:t>计划财务部</w:t>
      </w:r>
      <w:r>
        <w:rPr>
          <w:rFonts w:hint="eastAsia" w:ascii="宋体" w:hAnsi="宋体" w:cs="宋体"/>
          <w:sz w:val="28"/>
          <w:szCs w:val="28"/>
          <w:shd w:val="clear" w:color="auto" w:fill="FFFFFF"/>
        </w:rPr>
        <w:t>门与</w:t>
      </w:r>
      <w:r>
        <w:rPr>
          <w:rFonts w:hint="eastAsia" w:ascii="宋体" w:hAnsi="宋体" w:cs="宋体"/>
          <w:sz w:val="28"/>
          <w:szCs w:val="28"/>
          <w:shd w:val="clear" w:color="auto" w:fill="FFFFFF"/>
          <w:lang w:eastAsia="zh-CN"/>
        </w:rPr>
        <w:t>计划项目部</w:t>
      </w:r>
      <w:r>
        <w:rPr>
          <w:rFonts w:hint="eastAsia" w:ascii="宋体" w:hAnsi="宋体" w:cs="宋体"/>
          <w:sz w:val="28"/>
          <w:szCs w:val="28"/>
          <w:shd w:val="clear" w:color="auto" w:fill="FFFFFF"/>
        </w:rPr>
        <w:t>负责。向捐赠人提交成本估算前，应经秘书处批准。项目成本（费用）估算，按照成本核算的原则和方法进行，必须提供可靠的人力、物资、费用支出的估算依据。</w:t>
      </w:r>
    </w:p>
    <w:p w14:paraId="491A4DDF">
      <w:pPr>
        <w:pStyle w:val="2"/>
        <w:spacing w:before="240" w:after="240" w:line="360" w:lineRule="auto"/>
        <w:jc w:val="center"/>
        <w:rPr>
          <w:sz w:val="32"/>
          <w:szCs w:val="32"/>
        </w:rPr>
      </w:pPr>
      <w:bookmarkStart w:id="14" w:name="_Toc48020119"/>
      <w:bookmarkStart w:id="15" w:name="_Toc49000432"/>
      <w:r>
        <w:rPr>
          <w:rFonts w:hint="eastAsia"/>
          <w:sz w:val="32"/>
          <w:szCs w:val="32"/>
        </w:rPr>
        <w:t>第八章</w:t>
      </w:r>
      <w:r>
        <w:rPr>
          <w:sz w:val="32"/>
          <w:szCs w:val="32"/>
        </w:rPr>
        <w:t xml:space="preserve"> </w:t>
      </w:r>
      <w:r>
        <w:rPr>
          <w:rFonts w:hint="eastAsia"/>
          <w:sz w:val="32"/>
          <w:szCs w:val="32"/>
        </w:rPr>
        <w:t>资产管理</w:t>
      </w:r>
      <w:bookmarkEnd w:id="14"/>
      <w:bookmarkEnd w:id="15"/>
    </w:p>
    <w:p w14:paraId="459A0F9C">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第二十九条</w:t>
      </w:r>
      <w:r>
        <w:rPr>
          <w:rFonts w:hint="eastAsia" w:ascii="宋体" w:hAnsi="宋体" w:cs="宋体"/>
          <w:sz w:val="28"/>
          <w:szCs w:val="28"/>
          <w:shd w:val="clear" w:color="auto" w:fill="FFFFFF"/>
        </w:rPr>
        <w:t xml:space="preserve"> 资产是</w:t>
      </w:r>
      <w:r>
        <w:rPr>
          <w:rFonts w:hint="eastAsia" w:ascii="宋体" w:hAnsi="宋体" w:cs="宋体"/>
          <w:sz w:val="28"/>
          <w:szCs w:val="28"/>
          <w:shd w:val="clear" w:color="auto" w:fill="FFFFFF"/>
          <w:lang w:eastAsia="zh-CN"/>
        </w:rPr>
        <w:t>北京维康慈善基金会</w:t>
      </w:r>
      <w:r>
        <w:rPr>
          <w:rFonts w:hint="eastAsia" w:ascii="宋体" w:hAnsi="宋体" w:cs="宋体"/>
          <w:sz w:val="28"/>
          <w:szCs w:val="28"/>
          <w:shd w:val="clear" w:color="auto" w:fill="FFFFFF"/>
        </w:rPr>
        <w:t>拥有或者控制的、能以货币形式计量的经济资源，包括流动资产和非流动资产。</w:t>
      </w:r>
    </w:p>
    <w:p w14:paraId="69DBE469">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第三十条</w:t>
      </w:r>
      <w:r>
        <w:rPr>
          <w:rFonts w:hint="eastAsia" w:ascii="宋体" w:hAnsi="宋体" w:cs="宋体"/>
          <w:sz w:val="28"/>
          <w:szCs w:val="28"/>
          <w:shd w:val="clear" w:color="auto" w:fill="FFFFFF"/>
        </w:rPr>
        <w:t xml:space="preserve">  基金会货币资金由</w:t>
      </w:r>
      <w:r>
        <w:rPr>
          <w:rFonts w:hint="eastAsia" w:ascii="宋体" w:hAnsi="宋体" w:cs="宋体"/>
          <w:sz w:val="28"/>
          <w:szCs w:val="28"/>
          <w:shd w:val="clear" w:color="auto" w:fill="FFFFFF"/>
          <w:lang w:eastAsia="zh-CN"/>
        </w:rPr>
        <w:t>计划财务部</w:t>
      </w:r>
      <w:r>
        <w:rPr>
          <w:rFonts w:hint="eastAsia" w:ascii="宋体" w:hAnsi="宋体" w:cs="宋体"/>
          <w:sz w:val="28"/>
          <w:szCs w:val="28"/>
          <w:shd w:val="clear" w:color="auto" w:fill="FFFFFF"/>
        </w:rPr>
        <w:t>门统一开设账户和进行钱账分管。固定资产由</w:t>
      </w:r>
      <w:r>
        <w:rPr>
          <w:rFonts w:hint="eastAsia" w:ascii="宋体" w:hAnsi="宋体" w:cs="宋体"/>
          <w:sz w:val="28"/>
          <w:szCs w:val="28"/>
          <w:shd w:val="clear" w:color="auto" w:fill="FFFFFF"/>
          <w:lang w:eastAsia="zh-CN"/>
        </w:rPr>
        <w:t>计划财务部</w:t>
      </w:r>
      <w:r>
        <w:rPr>
          <w:rFonts w:hint="eastAsia" w:ascii="宋体" w:hAnsi="宋体" w:cs="宋体"/>
          <w:sz w:val="28"/>
          <w:szCs w:val="28"/>
          <w:shd w:val="clear" w:color="auto" w:fill="FFFFFF"/>
        </w:rPr>
        <w:t>门统一建账、核算，实物形态的资产由资产使用部门负责保管，综合部定期（至少一年一次）进行资产清查盘点，保证账账相符，账实相符、账表相符。</w:t>
      </w:r>
    </w:p>
    <w:p w14:paraId="6BE964EC">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第三十一条</w:t>
      </w:r>
      <w:r>
        <w:rPr>
          <w:rFonts w:hint="eastAsia" w:ascii="宋体" w:hAnsi="宋体" w:cs="宋体"/>
          <w:sz w:val="28"/>
          <w:szCs w:val="28"/>
          <w:shd w:val="clear" w:color="auto" w:fill="FFFFFF"/>
        </w:rPr>
        <w:t xml:space="preserve"> 单位价值在规定标准 </w:t>
      </w:r>
      <w:r>
        <w:rPr>
          <w:rFonts w:ascii="宋体" w:hAnsi="宋体" w:cs="宋体"/>
          <w:sz w:val="28"/>
          <w:szCs w:val="28"/>
          <w:shd w:val="clear" w:color="auto" w:fill="FFFFFF"/>
        </w:rPr>
        <w:t>5000</w:t>
      </w:r>
      <w:r>
        <w:rPr>
          <w:rFonts w:hint="eastAsia" w:ascii="宋体" w:hAnsi="宋体" w:cs="宋体"/>
          <w:sz w:val="28"/>
          <w:szCs w:val="28"/>
          <w:shd w:val="clear" w:color="auto" w:fill="FFFFFF"/>
        </w:rPr>
        <w:t>元以上、耐用时间在一年以上的办公设备或其他设施列入固定资产管理；单位价值虽未达到规定标准，但耐用时间在一年以上的批量物资，也应作为固定资产管理；单位价值虽已超过规定标准，但易损坏，更换频繁的，不作为固定资产管理。</w:t>
      </w:r>
    </w:p>
    <w:p w14:paraId="7A817284">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第三十二条</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为了加强对固定资产的管理，有必要对固定资产进行合理的分类，根据不同的管理需要和核算要求以及不同的分类标准，真实、完整地反映固定资产的相关信息，作为固定资产核算的依据。</w:t>
      </w:r>
    </w:p>
    <w:p w14:paraId="6C191F3C">
      <w:pPr>
        <w:widowControl/>
        <w:numPr>
          <w:ilvl w:val="0"/>
          <w:numId w:val="6"/>
        </w:numPr>
        <w:shd w:val="clear" w:color="auto" w:fill="FFFFFF"/>
        <w:adjustRightInd/>
        <w:spacing w:line="360" w:lineRule="auto"/>
        <w:ind w:firstLine="560" w:firstLineChars="200"/>
        <w:jc w:val="left"/>
        <w:textAlignment w:val="auto"/>
        <w:rPr>
          <w:rFonts w:hint="eastAsia" w:ascii="宋体" w:hAnsi="宋体" w:cs="宋体"/>
          <w:sz w:val="28"/>
          <w:szCs w:val="28"/>
          <w:shd w:val="clear" w:color="auto" w:fill="FFFFFF"/>
        </w:rPr>
      </w:pPr>
      <w:r>
        <w:rPr>
          <w:rFonts w:hint="eastAsia" w:ascii="宋体" w:hAnsi="宋体" w:cs="宋体"/>
          <w:sz w:val="28"/>
          <w:szCs w:val="28"/>
          <w:shd w:val="clear" w:color="auto" w:fill="FFFFFF"/>
        </w:rPr>
        <w:t>固定资产要有专人保管并建立固定资产卡片。</w:t>
      </w:r>
    </w:p>
    <w:p w14:paraId="450E4A53">
      <w:pPr>
        <w:widowControl/>
        <w:numPr>
          <w:ilvl w:val="0"/>
          <w:numId w:val="6"/>
        </w:numPr>
        <w:shd w:val="clear" w:color="auto" w:fill="FFFFFF"/>
        <w:adjustRightInd/>
        <w:spacing w:line="360" w:lineRule="auto"/>
        <w:ind w:firstLine="560" w:firstLineChars="200"/>
        <w:jc w:val="left"/>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固定资产增减变动要及时进行账务处理。</w:t>
      </w:r>
    </w:p>
    <w:p w14:paraId="4D0237D8">
      <w:pPr>
        <w:widowControl/>
        <w:numPr>
          <w:ilvl w:val="0"/>
          <w:numId w:val="6"/>
        </w:numPr>
        <w:shd w:val="clear" w:color="auto" w:fill="FFFFFF"/>
        <w:adjustRightInd/>
        <w:spacing w:line="360" w:lineRule="auto"/>
        <w:ind w:firstLine="560" w:firstLineChars="200"/>
        <w:jc w:val="left"/>
        <w:textAlignment w:val="auto"/>
        <w:rPr>
          <w:rFonts w:ascii="宋体" w:hAnsi="宋体" w:cs="宋体"/>
          <w:sz w:val="28"/>
          <w:szCs w:val="28"/>
          <w:shd w:val="clear" w:color="auto" w:fill="FFFFFF"/>
        </w:rPr>
      </w:pPr>
      <w:r>
        <w:rPr>
          <w:rFonts w:hint="eastAsia" w:ascii="宋体" w:hAnsi="宋体" w:cs="宋体"/>
          <w:sz w:val="28"/>
          <w:szCs w:val="28"/>
          <w:shd w:val="clear" w:color="auto" w:fill="FFFFFF"/>
        </w:rPr>
        <w:t>固定资产残值率5%，采用直线法按月计提折旧。</w:t>
      </w:r>
    </w:p>
    <w:p w14:paraId="1301C8AC">
      <w:pPr>
        <w:widowControl/>
        <w:spacing w:line="360" w:lineRule="auto"/>
        <w:ind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第三十三条</w:t>
      </w:r>
      <w:r>
        <w:rPr>
          <w:rFonts w:hint="eastAsia" w:ascii="宋体" w:hAnsi="宋体" w:cs="宋体"/>
          <w:sz w:val="28"/>
          <w:szCs w:val="28"/>
          <w:shd w:val="clear" w:color="auto" w:fill="FFFFFF"/>
        </w:rPr>
        <w:t xml:space="preserve"> 不够固定资产标准的各种工器具以及办公用品等的制作、购买、验收、进出库、保管等均由综合部负</w:t>
      </w:r>
      <w:r>
        <w:rPr>
          <w:rFonts w:hint="eastAsia" w:ascii="宋体" w:hAnsi="宋体" w:cs="宋体"/>
          <w:sz w:val="28"/>
          <w:szCs w:val="28"/>
        </w:rPr>
        <w:t>责，规范</w:t>
      </w:r>
      <w:r>
        <w:rPr>
          <w:rFonts w:hint="eastAsia" w:ascii="宋体" w:hAnsi="宋体" w:cs="宋体"/>
          <w:sz w:val="28"/>
          <w:szCs w:val="28"/>
          <w:shd w:val="clear" w:color="auto" w:fill="FFFFFF"/>
        </w:rPr>
        <w:t xml:space="preserve">审批程序，科学管理控制。在保证工作需要的前提下，降低非固定资产的库存和消耗。 </w:t>
      </w:r>
    </w:p>
    <w:p w14:paraId="0795E3DD">
      <w:pPr>
        <w:pStyle w:val="2"/>
        <w:jc w:val="center"/>
        <w:rPr>
          <w:sz w:val="32"/>
          <w:szCs w:val="32"/>
        </w:rPr>
      </w:pPr>
      <w:bookmarkStart w:id="16" w:name="_Toc49000433"/>
      <w:bookmarkStart w:id="17" w:name="_Toc48020120"/>
      <w:r>
        <w:rPr>
          <w:rFonts w:hint="eastAsia"/>
          <w:sz w:val="32"/>
          <w:szCs w:val="32"/>
        </w:rPr>
        <w:t>第九章</w:t>
      </w:r>
      <w:r>
        <w:rPr>
          <w:sz w:val="32"/>
          <w:szCs w:val="32"/>
        </w:rPr>
        <w:t xml:space="preserve"> </w:t>
      </w:r>
      <w:r>
        <w:rPr>
          <w:rFonts w:hint="eastAsia"/>
          <w:sz w:val="32"/>
          <w:szCs w:val="32"/>
        </w:rPr>
        <w:t>纳税管理制度</w:t>
      </w:r>
      <w:bookmarkEnd w:id="16"/>
      <w:bookmarkEnd w:id="17"/>
    </w:p>
    <w:p w14:paraId="6BD0EFE7">
      <w:pPr>
        <w:widowControl/>
        <w:spacing w:line="360" w:lineRule="auto"/>
        <w:ind w:firstLine="561" w:firstLineChars="200"/>
        <w:rPr>
          <w:rFonts w:hint="eastAsia" w:ascii="宋体" w:hAnsi="宋体" w:cs="宋体"/>
          <w:sz w:val="28"/>
          <w:szCs w:val="28"/>
          <w:shd w:val="clear" w:color="auto" w:fill="FFFFFF"/>
        </w:rPr>
      </w:pPr>
      <w:r>
        <w:rPr>
          <w:rFonts w:hint="eastAsia" w:ascii="宋体" w:hAnsi="宋体" w:cs="宋体"/>
          <w:b/>
          <w:bCs/>
          <w:sz w:val="28"/>
          <w:szCs w:val="28"/>
          <w:shd w:val="clear" w:color="auto" w:fill="FFFFFF"/>
        </w:rPr>
        <w:t>第三十四条</w:t>
      </w:r>
      <w:r>
        <w:rPr>
          <w:rFonts w:hint="eastAsia" w:ascii="宋体" w:hAnsi="宋体" w:cs="宋体"/>
          <w:sz w:val="28"/>
          <w:szCs w:val="28"/>
          <w:shd w:val="clear" w:color="auto" w:fill="FFFFFF"/>
        </w:rPr>
        <w:t xml:space="preserve"> 纳税申报是纳税人发生纳税义务后，按照税法规定的期限和内容，向主管税务机关提交有关纳税书面报告的法律行为。</w:t>
      </w:r>
    </w:p>
    <w:p w14:paraId="164919B1">
      <w:pPr>
        <w:widowControl/>
        <w:numPr>
          <w:ilvl w:val="0"/>
          <w:numId w:val="7"/>
        </w:numPr>
        <w:spacing w:line="360" w:lineRule="auto"/>
        <w:ind w:firstLine="560" w:firstLineChars="200"/>
        <w:rPr>
          <w:rFonts w:hint="eastAsia" w:ascii="宋体" w:hAnsi="宋体" w:cs="宋体"/>
          <w:sz w:val="28"/>
          <w:szCs w:val="28"/>
          <w:shd w:val="clear" w:color="auto" w:fill="FFFFFF"/>
        </w:rPr>
      </w:pPr>
      <w:r>
        <w:rPr>
          <w:rFonts w:hint="eastAsia" w:ascii="宋体" w:hAnsi="宋体" w:cs="宋体"/>
          <w:sz w:val="28"/>
          <w:szCs w:val="28"/>
          <w:shd w:val="clear" w:color="auto" w:fill="FFFFFF"/>
        </w:rPr>
        <w:t>必须在规定的申报期限内如实办理纳税申报，报送各类纳税申报表、财务会计报表以及税务机关要求报送的其他资料。</w:t>
      </w:r>
    </w:p>
    <w:p w14:paraId="3841B9F4">
      <w:pPr>
        <w:widowControl/>
        <w:numPr>
          <w:ilvl w:val="0"/>
          <w:numId w:val="7"/>
        </w:num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纳税申报常用的方式有直接到税务机关办理纳税申报和网上电子申报。纳税申报后，应当在规定期限内足额缴纳税款。</w:t>
      </w:r>
    </w:p>
    <w:p w14:paraId="7681AB67">
      <w:pPr>
        <w:widowControl/>
        <w:numPr>
          <w:ilvl w:val="0"/>
          <w:numId w:val="7"/>
        </w:num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按规定办理税务登记及变更手续。</w:t>
      </w:r>
    </w:p>
    <w:p w14:paraId="60058812">
      <w:pPr>
        <w:ind w:firstLine="200"/>
      </w:pPr>
    </w:p>
    <w:p w14:paraId="6A4FEBD2">
      <w:pPr>
        <w:pStyle w:val="2"/>
        <w:spacing w:before="240" w:after="240" w:line="360" w:lineRule="auto"/>
        <w:jc w:val="center"/>
        <w:rPr>
          <w:sz w:val="32"/>
          <w:szCs w:val="32"/>
        </w:rPr>
      </w:pPr>
      <w:bookmarkStart w:id="18" w:name="_Toc48020121"/>
      <w:bookmarkStart w:id="19" w:name="_Toc49000434"/>
      <w:r>
        <w:rPr>
          <w:rFonts w:hint="eastAsia"/>
          <w:sz w:val="32"/>
          <w:szCs w:val="32"/>
        </w:rPr>
        <w:t>第十章</w:t>
      </w:r>
      <w:r>
        <w:rPr>
          <w:sz w:val="32"/>
          <w:szCs w:val="32"/>
        </w:rPr>
        <w:t xml:space="preserve"> </w:t>
      </w:r>
      <w:r>
        <w:rPr>
          <w:rFonts w:hint="eastAsia"/>
          <w:sz w:val="32"/>
          <w:szCs w:val="32"/>
        </w:rPr>
        <w:t>财务分析与财务监督</w:t>
      </w:r>
      <w:bookmarkEnd w:id="18"/>
      <w:bookmarkEnd w:id="19"/>
    </w:p>
    <w:p w14:paraId="78670E0D">
      <w:pPr>
        <w:widowControl/>
        <w:shd w:val="clear" w:color="auto" w:fill="FFFFFF"/>
        <w:spacing w:line="360" w:lineRule="auto"/>
        <w:ind w:firstLine="561" w:firstLineChars="200"/>
        <w:rPr>
          <w:rFonts w:ascii="宋体" w:hAnsi="宋体" w:cs="宋体"/>
          <w:sz w:val="28"/>
          <w:szCs w:val="28"/>
        </w:rPr>
      </w:pPr>
      <w:r>
        <w:rPr>
          <w:rFonts w:hint="eastAsia" w:ascii="宋体" w:hAnsi="宋体" w:cs="宋体"/>
          <w:b/>
          <w:bCs/>
          <w:sz w:val="28"/>
          <w:szCs w:val="28"/>
        </w:rPr>
        <w:t>第三十五条</w:t>
      </w:r>
      <w:r>
        <w:rPr>
          <w:rFonts w:hint="eastAsia" w:ascii="宋体" w:hAnsi="宋体" w:cs="宋体"/>
          <w:sz w:val="28"/>
          <w:szCs w:val="28"/>
        </w:rPr>
        <w:t xml:space="preserve"> 财务分析与财务监督是提高财务管理水平和资金使用效益，维护财经纪律，促进事业健康发展的重要手段。</w:t>
      </w:r>
    </w:p>
    <w:p w14:paraId="0FFCA9AF">
      <w:pPr>
        <w:widowControl/>
        <w:shd w:val="clear" w:color="auto" w:fill="FFFFFF"/>
        <w:spacing w:line="360" w:lineRule="auto"/>
        <w:ind w:firstLine="561" w:firstLineChars="200"/>
        <w:rPr>
          <w:rFonts w:ascii="宋体" w:hAnsi="宋体" w:cs="宋体"/>
          <w:sz w:val="28"/>
          <w:szCs w:val="28"/>
        </w:rPr>
      </w:pPr>
      <w:r>
        <w:rPr>
          <w:rFonts w:hint="eastAsia" w:ascii="宋体" w:hAnsi="宋体" w:cs="宋体"/>
          <w:b/>
          <w:bCs/>
          <w:sz w:val="28"/>
          <w:szCs w:val="28"/>
        </w:rPr>
        <w:t>第三十六条</w:t>
      </w:r>
      <w:r>
        <w:rPr>
          <w:rFonts w:hint="eastAsia" w:ascii="宋体" w:hAnsi="宋体" w:cs="宋体"/>
          <w:sz w:val="28"/>
          <w:szCs w:val="28"/>
        </w:rPr>
        <w:t xml:space="preserve"> 财务分析的主要内容包括：财务报表、财务报告等。</w:t>
      </w:r>
      <w:r>
        <w:rPr>
          <w:rFonts w:hint="eastAsia" w:ascii="宋体" w:hAnsi="宋体" w:cs="宋体"/>
          <w:sz w:val="28"/>
          <w:szCs w:val="28"/>
          <w:lang w:eastAsia="zh-CN"/>
        </w:rPr>
        <w:t>计划财务部</w:t>
      </w:r>
      <w:r>
        <w:rPr>
          <w:rFonts w:hint="eastAsia" w:ascii="宋体" w:hAnsi="宋体" w:cs="宋体"/>
          <w:sz w:val="28"/>
          <w:szCs w:val="28"/>
        </w:rPr>
        <w:t>门通过分析，反映业务活动情况，并及时反映给秘书处和理事会。</w:t>
      </w:r>
    </w:p>
    <w:p w14:paraId="0DC1B6E0">
      <w:pPr>
        <w:widowControl/>
        <w:shd w:val="clear" w:color="auto" w:fill="FFFFFF"/>
        <w:spacing w:line="360" w:lineRule="auto"/>
        <w:ind w:firstLine="561" w:firstLineChars="200"/>
        <w:rPr>
          <w:rFonts w:ascii="宋体" w:hAnsi="宋体" w:cs="宋体"/>
          <w:sz w:val="28"/>
          <w:szCs w:val="28"/>
        </w:rPr>
      </w:pPr>
      <w:r>
        <w:rPr>
          <w:rFonts w:hint="eastAsia" w:ascii="宋体" w:hAnsi="宋体" w:cs="宋体"/>
          <w:b/>
          <w:bCs/>
          <w:sz w:val="28"/>
          <w:szCs w:val="28"/>
        </w:rPr>
        <w:t>第三十七条</w:t>
      </w:r>
      <w:r>
        <w:rPr>
          <w:rFonts w:hint="eastAsia" w:ascii="宋体" w:hAnsi="宋体" w:cs="宋体"/>
          <w:sz w:val="28"/>
          <w:szCs w:val="28"/>
        </w:rPr>
        <w:t xml:space="preserve"> 财务监督的主要内容包括：检查、审核预算编制、和执行；对违反国家法律法规、财务制度和财经纪律的行为，要及时予以制止、纠正；性质严重的，要逐级报告，并按有关规定及时处理。</w:t>
      </w:r>
    </w:p>
    <w:p w14:paraId="2716E920">
      <w:pPr>
        <w:pStyle w:val="2"/>
        <w:spacing w:before="240" w:after="240" w:line="360" w:lineRule="auto"/>
        <w:jc w:val="center"/>
        <w:rPr>
          <w:sz w:val="32"/>
          <w:szCs w:val="32"/>
        </w:rPr>
      </w:pPr>
      <w:bookmarkStart w:id="20" w:name="_Toc48020122"/>
      <w:bookmarkStart w:id="21" w:name="_Toc49000435"/>
      <w:r>
        <w:rPr>
          <w:rFonts w:hint="eastAsia"/>
          <w:sz w:val="32"/>
          <w:szCs w:val="32"/>
        </w:rPr>
        <w:t>第十一章</w:t>
      </w:r>
      <w:r>
        <w:rPr>
          <w:sz w:val="32"/>
          <w:szCs w:val="32"/>
        </w:rPr>
        <w:t xml:space="preserve"> </w:t>
      </w:r>
      <w:r>
        <w:rPr>
          <w:rFonts w:hint="eastAsia"/>
          <w:sz w:val="32"/>
          <w:szCs w:val="32"/>
        </w:rPr>
        <w:t>财务信息披露</w:t>
      </w:r>
      <w:bookmarkEnd w:id="20"/>
      <w:bookmarkEnd w:id="21"/>
    </w:p>
    <w:p w14:paraId="74E573A3">
      <w:pPr>
        <w:widowControl/>
        <w:shd w:val="clear" w:color="auto" w:fill="FFFFFF"/>
        <w:spacing w:line="360" w:lineRule="auto"/>
        <w:ind w:firstLine="561" w:firstLineChars="200"/>
        <w:rPr>
          <w:rFonts w:ascii="宋体" w:hAnsi="宋体" w:cs="宋体"/>
          <w:sz w:val="28"/>
          <w:szCs w:val="28"/>
        </w:rPr>
      </w:pPr>
      <w:r>
        <w:rPr>
          <w:rFonts w:hint="eastAsia" w:ascii="宋体" w:hAnsi="宋体" w:cs="宋体"/>
          <w:b/>
          <w:bCs/>
          <w:sz w:val="28"/>
          <w:szCs w:val="28"/>
        </w:rPr>
        <w:t>第三十八条</w:t>
      </w:r>
      <w:r>
        <w:rPr>
          <w:rFonts w:hint="eastAsia" w:ascii="宋体" w:hAnsi="宋体" w:cs="宋体"/>
          <w:sz w:val="28"/>
          <w:szCs w:val="28"/>
        </w:rPr>
        <w:t xml:space="preserve"> 财务信息披露是建立社会公信力的重要环节，其主要形式是财务会计报告。</w:t>
      </w:r>
    </w:p>
    <w:p w14:paraId="6729BF9E">
      <w:pPr>
        <w:widowControl/>
        <w:shd w:val="clear" w:color="auto" w:fill="FFFFFF"/>
        <w:spacing w:line="360" w:lineRule="auto"/>
        <w:ind w:left="210" w:leftChars="100" w:firstLine="280" w:firstLineChars="100"/>
        <w:jc w:val="left"/>
        <w:rPr>
          <w:rFonts w:ascii="宋体" w:hAnsi="宋体" w:cs="宋体"/>
          <w:sz w:val="28"/>
          <w:szCs w:val="28"/>
        </w:rPr>
      </w:pPr>
      <w:r>
        <w:rPr>
          <w:rFonts w:hint="eastAsia" w:ascii="宋体" w:hAnsi="宋体" w:cs="宋体"/>
          <w:b/>
          <w:bCs/>
          <w:sz w:val="28"/>
          <w:szCs w:val="28"/>
        </w:rPr>
        <w:t>第三十九条</w:t>
      </w:r>
      <w:r>
        <w:rPr>
          <w:rFonts w:hint="eastAsia" w:ascii="宋体" w:hAnsi="宋体" w:cs="宋体"/>
          <w:sz w:val="28"/>
          <w:szCs w:val="28"/>
        </w:rPr>
        <w:t xml:space="preserve"> 财务会计报告由会计报表和财务情况分析组成。</w:t>
      </w:r>
    </w:p>
    <w:p w14:paraId="520571A0">
      <w:pPr>
        <w:widowControl/>
        <w:shd w:val="clear" w:color="auto" w:fill="FFFFFF"/>
        <w:spacing w:line="360" w:lineRule="auto"/>
        <w:ind w:left="210" w:leftChars="100" w:firstLine="280" w:firstLineChars="100"/>
        <w:jc w:val="left"/>
        <w:rPr>
          <w:rFonts w:ascii="宋体" w:hAnsi="宋体" w:cs="宋体"/>
          <w:sz w:val="28"/>
          <w:szCs w:val="28"/>
        </w:rPr>
      </w:pPr>
      <w:r>
        <w:rPr>
          <w:rFonts w:hint="eastAsia" w:ascii="宋体" w:hAnsi="宋体" w:cs="宋体"/>
          <w:b/>
          <w:bCs/>
          <w:sz w:val="28"/>
          <w:szCs w:val="28"/>
        </w:rPr>
        <w:t>第四十条</w:t>
      </w:r>
      <w:r>
        <w:rPr>
          <w:rFonts w:hint="eastAsia" w:ascii="宋体" w:hAnsi="宋体" w:cs="宋体"/>
          <w:sz w:val="28"/>
          <w:szCs w:val="28"/>
        </w:rPr>
        <w:t xml:space="preserve"> 建立定期财务信息披露制度，提供真实、及时、公允的财务信息。</w:t>
      </w:r>
    </w:p>
    <w:p w14:paraId="58334865">
      <w:pPr>
        <w:widowControl/>
        <w:shd w:val="clear" w:color="auto" w:fill="FFFFFF"/>
        <w:spacing w:line="360" w:lineRule="auto"/>
        <w:ind w:firstLine="561" w:firstLineChars="200"/>
        <w:rPr>
          <w:rFonts w:ascii="宋体" w:hAnsi="宋体" w:cs="宋体"/>
          <w:sz w:val="28"/>
          <w:szCs w:val="28"/>
        </w:rPr>
      </w:pPr>
      <w:r>
        <w:rPr>
          <w:rFonts w:hint="eastAsia" w:ascii="宋体" w:hAnsi="宋体" w:cs="宋体"/>
          <w:b/>
          <w:bCs/>
          <w:sz w:val="28"/>
          <w:szCs w:val="28"/>
        </w:rPr>
        <w:t>第四十一条</w:t>
      </w:r>
      <w:r>
        <w:rPr>
          <w:rFonts w:hint="eastAsia" w:ascii="宋体" w:hAnsi="宋体" w:cs="宋体"/>
          <w:sz w:val="28"/>
          <w:szCs w:val="28"/>
        </w:rPr>
        <w:t xml:space="preserve"> 以单一项目或捐赠人为报告主体的财务会计信息由</w:t>
      </w:r>
      <w:r>
        <w:rPr>
          <w:rFonts w:hint="eastAsia" w:ascii="宋体" w:hAnsi="宋体" w:cs="宋体"/>
          <w:sz w:val="28"/>
          <w:szCs w:val="28"/>
          <w:lang w:eastAsia="zh-CN"/>
        </w:rPr>
        <w:t>计划财务部</w:t>
      </w:r>
      <w:r>
        <w:rPr>
          <w:rFonts w:hint="eastAsia" w:ascii="宋体" w:hAnsi="宋体" w:cs="宋体"/>
          <w:sz w:val="28"/>
          <w:szCs w:val="28"/>
        </w:rPr>
        <w:t>门编制，报秘书处审核批准后，方可对外提供或披露。重大财务信息的披露必须纳入财务会计报告的内容，由</w:t>
      </w:r>
      <w:r>
        <w:rPr>
          <w:rFonts w:hint="eastAsia" w:ascii="宋体" w:hAnsi="宋体" w:cs="宋体"/>
          <w:sz w:val="28"/>
          <w:szCs w:val="28"/>
          <w:lang w:eastAsia="zh-CN"/>
        </w:rPr>
        <w:t>计划财务部</w:t>
      </w:r>
      <w:r>
        <w:rPr>
          <w:rFonts w:hint="eastAsia" w:ascii="宋体" w:hAnsi="宋体" w:cs="宋体"/>
          <w:sz w:val="28"/>
          <w:szCs w:val="28"/>
        </w:rPr>
        <w:t>门按规定报批后方可对外披露。</w:t>
      </w:r>
    </w:p>
    <w:p w14:paraId="06B0FB62">
      <w:pPr>
        <w:pStyle w:val="2"/>
        <w:spacing w:before="240" w:after="240" w:line="360" w:lineRule="auto"/>
        <w:jc w:val="center"/>
        <w:rPr>
          <w:sz w:val="32"/>
          <w:szCs w:val="32"/>
        </w:rPr>
      </w:pPr>
      <w:bookmarkStart w:id="22" w:name="_Toc48020123"/>
      <w:bookmarkStart w:id="23" w:name="_Toc49000436"/>
      <w:r>
        <w:rPr>
          <w:rFonts w:hint="eastAsia"/>
          <w:sz w:val="32"/>
          <w:szCs w:val="32"/>
        </w:rPr>
        <w:t>第十二章</w:t>
      </w:r>
      <w:r>
        <w:rPr>
          <w:sz w:val="32"/>
          <w:szCs w:val="32"/>
        </w:rPr>
        <w:t xml:space="preserve"> </w:t>
      </w:r>
      <w:r>
        <w:rPr>
          <w:rFonts w:hint="eastAsia"/>
          <w:sz w:val="32"/>
          <w:szCs w:val="32"/>
        </w:rPr>
        <w:t>附则</w:t>
      </w:r>
      <w:bookmarkEnd w:id="22"/>
      <w:bookmarkEnd w:id="23"/>
    </w:p>
    <w:p w14:paraId="1893C320">
      <w:pPr>
        <w:widowControl/>
        <w:spacing w:line="360" w:lineRule="auto"/>
        <w:ind w:right="150" w:firstLine="561" w:firstLineChars="200"/>
        <w:rPr>
          <w:rFonts w:ascii="宋体" w:hAnsi="宋体" w:cs="宋体"/>
          <w:sz w:val="28"/>
          <w:szCs w:val="28"/>
          <w:shd w:val="clear" w:color="auto" w:fill="FFFFFF"/>
        </w:rPr>
      </w:pPr>
      <w:r>
        <w:rPr>
          <w:rFonts w:hint="eastAsia" w:ascii="宋体" w:hAnsi="宋体" w:cs="宋体"/>
          <w:b/>
          <w:bCs/>
          <w:sz w:val="28"/>
          <w:szCs w:val="28"/>
          <w:shd w:val="clear" w:color="auto" w:fill="FFFFFF"/>
        </w:rPr>
        <w:t>第四十二条</w:t>
      </w:r>
      <w:r>
        <w:rPr>
          <w:rFonts w:hint="eastAsia" w:ascii="宋体" w:hAnsi="宋体" w:cs="宋体"/>
          <w:sz w:val="28"/>
          <w:szCs w:val="28"/>
          <w:shd w:val="clear" w:color="auto" w:fill="FFFFFF"/>
        </w:rPr>
        <w:t xml:space="preserve"> 本制度于</w:t>
      </w:r>
      <w:r>
        <w:rPr>
          <w:rFonts w:hint="eastAsia" w:asciiTheme="minorEastAsia" w:hAnsiTheme="minorEastAsia" w:eastAsiaTheme="minorEastAsia"/>
          <w:sz w:val="28"/>
          <w:szCs w:val="28"/>
          <w:shd w:val="clear" w:color="auto" w:fill="FFFFFF"/>
        </w:rPr>
        <w:t>第</w:t>
      </w:r>
      <w:r>
        <w:rPr>
          <w:rFonts w:hint="eastAsia" w:asciiTheme="minorEastAsia" w:hAnsiTheme="minorEastAsia" w:eastAsiaTheme="minorEastAsia"/>
          <w:sz w:val="28"/>
          <w:szCs w:val="28"/>
          <w:shd w:val="clear" w:color="auto" w:fill="FFFFFF"/>
          <w:lang w:val="en-US" w:eastAsia="zh-CN"/>
        </w:rPr>
        <w:t>二</w:t>
      </w:r>
      <w:r>
        <w:rPr>
          <w:rFonts w:hint="eastAsia" w:asciiTheme="minorEastAsia" w:hAnsiTheme="minorEastAsia" w:eastAsiaTheme="minorEastAsia"/>
          <w:sz w:val="28"/>
          <w:szCs w:val="28"/>
          <w:shd w:val="clear" w:color="auto" w:fill="FFFFFF"/>
        </w:rPr>
        <w:t>届第</w:t>
      </w:r>
      <w:r>
        <w:rPr>
          <w:rFonts w:hint="eastAsia" w:asciiTheme="minorEastAsia" w:hAnsiTheme="minorEastAsia" w:eastAsiaTheme="minorEastAsia"/>
          <w:sz w:val="28"/>
          <w:szCs w:val="28"/>
          <w:shd w:val="clear" w:color="auto" w:fill="FFFFFF"/>
          <w:lang w:val="en-US" w:eastAsia="zh-CN"/>
        </w:rPr>
        <w:t>8</w:t>
      </w:r>
      <w:bookmarkStart w:id="24" w:name="_GoBack"/>
      <w:bookmarkEnd w:id="24"/>
      <w:r>
        <w:rPr>
          <w:rFonts w:hint="eastAsia" w:asciiTheme="minorEastAsia" w:hAnsiTheme="minorEastAsia" w:eastAsiaTheme="minorEastAsia"/>
          <w:sz w:val="28"/>
          <w:szCs w:val="28"/>
          <w:shd w:val="clear" w:color="auto" w:fill="FFFFFF"/>
        </w:rPr>
        <w:t>次理事会审议通过</w:t>
      </w:r>
      <w:r>
        <w:rPr>
          <w:rFonts w:hint="eastAsia" w:asciiTheme="minorEastAsia" w:hAnsiTheme="minorEastAsia" w:eastAsiaTheme="minorEastAsia"/>
          <w:sz w:val="28"/>
          <w:szCs w:val="28"/>
          <w:shd w:val="clear" w:color="auto" w:fill="FFFFFF"/>
          <w:lang w:eastAsia="zh-CN"/>
        </w:rPr>
        <w:t>，</w:t>
      </w:r>
      <w:r>
        <w:rPr>
          <w:rFonts w:hint="eastAsia" w:ascii="宋体" w:hAnsi="宋体" w:cs="宋体"/>
          <w:sz w:val="28"/>
          <w:szCs w:val="28"/>
          <w:shd w:val="clear" w:color="auto" w:fill="FFFFFF"/>
        </w:rPr>
        <w:t>于通过之日起实施。</w:t>
      </w:r>
    </w:p>
    <w:p w14:paraId="52051292">
      <w:pPr>
        <w:adjustRightInd/>
        <w:spacing w:line="360" w:lineRule="auto"/>
        <w:textAlignment w:val="auto"/>
        <w:rPr>
          <w:rFonts w:cs="宋体" w:asciiTheme="minorEastAsia" w:hAnsiTheme="minorEastAsia" w:eastAsiaTheme="minorEastAsia"/>
          <w:sz w:val="28"/>
          <w:szCs w:val="28"/>
          <w:lang w:val="zh-CN"/>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E40EE">
    <w:pPr>
      <w:pStyle w:val="9"/>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83051">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A583051">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17</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9474">
    <w:pPr>
      <w:pStyle w:val="10"/>
      <w:jc w:val="center"/>
      <w:rPr>
        <w:rFonts w:eastAsia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74219"/>
    <w:multiLevelType w:val="singleLevel"/>
    <w:tmpl w:val="AB774219"/>
    <w:lvl w:ilvl="0" w:tentative="0">
      <w:start w:val="1"/>
      <w:numFmt w:val="chineseCounting"/>
      <w:suff w:val="nothing"/>
      <w:lvlText w:val="（%1）"/>
      <w:lvlJc w:val="left"/>
      <w:rPr>
        <w:rFonts w:hint="eastAsia"/>
      </w:rPr>
    </w:lvl>
  </w:abstractNum>
  <w:abstractNum w:abstractNumId="1">
    <w:nsid w:val="AFFFDE22"/>
    <w:multiLevelType w:val="singleLevel"/>
    <w:tmpl w:val="AFFFDE22"/>
    <w:lvl w:ilvl="0" w:tentative="0">
      <w:start w:val="1"/>
      <w:numFmt w:val="chineseCounting"/>
      <w:suff w:val="nothing"/>
      <w:lvlText w:val="（%1）"/>
      <w:lvlJc w:val="left"/>
      <w:rPr>
        <w:rFonts w:hint="eastAsia"/>
      </w:rPr>
    </w:lvl>
  </w:abstractNum>
  <w:abstractNum w:abstractNumId="2">
    <w:nsid w:val="CFDA2724"/>
    <w:multiLevelType w:val="singleLevel"/>
    <w:tmpl w:val="CFDA2724"/>
    <w:lvl w:ilvl="0" w:tentative="0">
      <w:start w:val="1"/>
      <w:numFmt w:val="chineseCounting"/>
      <w:suff w:val="nothing"/>
      <w:lvlText w:val="（%1）"/>
      <w:lvlJc w:val="left"/>
      <w:rPr>
        <w:rFonts w:hint="eastAsia"/>
      </w:rPr>
    </w:lvl>
  </w:abstractNum>
  <w:abstractNum w:abstractNumId="3">
    <w:nsid w:val="DD86126A"/>
    <w:multiLevelType w:val="singleLevel"/>
    <w:tmpl w:val="DD86126A"/>
    <w:lvl w:ilvl="0" w:tentative="0">
      <w:start w:val="1"/>
      <w:numFmt w:val="chineseCounting"/>
      <w:suff w:val="nothing"/>
      <w:lvlText w:val="（%1）"/>
      <w:lvlJc w:val="left"/>
      <w:rPr>
        <w:rFonts w:hint="eastAsia"/>
      </w:rPr>
    </w:lvl>
  </w:abstractNum>
  <w:abstractNum w:abstractNumId="4">
    <w:nsid w:val="DECFCB9E"/>
    <w:multiLevelType w:val="singleLevel"/>
    <w:tmpl w:val="DECFCB9E"/>
    <w:lvl w:ilvl="0" w:tentative="0">
      <w:start w:val="1"/>
      <w:numFmt w:val="chineseCounting"/>
      <w:suff w:val="nothing"/>
      <w:lvlText w:val="（%1）"/>
      <w:lvlJc w:val="left"/>
      <w:rPr>
        <w:rFonts w:hint="eastAsia"/>
      </w:rPr>
    </w:lvl>
  </w:abstractNum>
  <w:abstractNum w:abstractNumId="5">
    <w:nsid w:val="FFDF08B3"/>
    <w:multiLevelType w:val="singleLevel"/>
    <w:tmpl w:val="FFDF08B3"/>
    <w:lvl w:ilvl="0" w:tentative="0">
      <w:start w:val="1"/>
      <w:numFmt w:val="chineseCounting"/>
      <w:suff w:val="nothing"/>
      <w:lvlText w:val="（%1）"/>
      <w:lvlJc w:val="left"/>
      <w:rPr>
        <w:rFonts w:hint="eastAsia"/>
      </w:rPr>
    </w:lvl>
  </w:abstractNum>
  <w:abstractNum w:abstractNumId="6">
    <w:nsid w:val="139ECACD"/>
    <w:multiLevelType w:val="singleLevel"/>
    <w:tmpl w:val="139ECACD"/>
    <w:lvl w:ilvl="0" w:tentative="0">
      <w:start w:val="1"/>
      <w:numFmt w:val="chineseCounting"/>
      <w:suff w:val="nothing"/>
      <w:lvlText w:val="（%1）"/>
      <w:lvlJc w:val="left"/>
      <w:rPr>
        <w:rFonts w:hint="eastAsia"/>
      </w:r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ZWIwNWQzZTIyMzBkZGMwMWI2NWY0NDc0MTg0MGYifQ=="/>
  </w:docVars>
  <w:rsids>
    <w:rsidRoot w:val="0056604F"/>
    <w:rsid w:val="00004F18"/>
    <w:rsid w:val="00032634"/>
    <w:rsid w:val="00034A8A"/>
    <w:rsid w:val="00037502"/>
    <w:rsid w:val="00053A4D"/>
    <w:rsid w:val="000656CB"/>
    <w:rsid w:val="000755D5"/>
    <w:rsid w:val="000756D2"/>
    <w:rsid w:val="000A5FFD"/>
    <w:rsid w:val="000D3D28"/>
    <w:rsid w:val="000F1CEF"/>
    <w:rsid w:val="0010019A"/>
    <w:rsid w:val="00115A34"/>
    <w:rsid w:val="00115B19"/>
    <w:rsid w:val="001631C5"/>
    <w:rsid w:val="00166A0B"/>
    <w:rsid w:val="001760EB"/>
    <w:rsid w:val="00180C8D"/>
    <w:rsid w:val="001844D0"/>
    <w:rsid w:val="00195F4D"/>
    <w:rsid w:val="001978A3"/>
    <w:rsid w:val="00197B30"/>
    <w:rsid w:val="00197E03"/>
    <w:rsid w:val="001C656F"/>
    <w:rsid w:val="001D4808"/>
    <w:rsid w:val="001E1CD3"/>
    <w:rsid w:val="001F2674"/>
    <w:rsid w:val="002043CE"/>
    <w:rsid w:val="00212365"/>
    <w:rsid w:val="00217E0A"/>
    <w:rsid w:val="0022033A"/>
    <w:rsid w:val="002241CA"/>
    <w:rsid w:val="002312E4"/>
    <w:rsid w:val="00245AFA"/>
    <w:rsid w:val="00250046"/>
    <w:rsid w:val="002547FC"/>
    <w:rsid w:val="0025699D"/>
    <w:rsid w:val="002808B0"/>
    <w:rsid w:val="00284D08"/>
    <w:rsid w:val="00292DDB"/>
    <w:rsid w:val="002934C0"/>
    <w:rsid w:val="00293596"/>
    <w:rsid w:val="002A4B36"/>
    <w:rsid w:val="002D457C"/>
    <w:rsid w:val="002D61DA"/>
    <w:rsid w:val="002D7742"/>
    <w:rsid w:val="002E4043"/>
    <w:rsid w:val="002F1C15"/>
    <w:rsid w:val="00322680"/>
    <w:rsid w:val="00333A30"/>
    <w:rsid w:val="00357CC7"/>
    <w:rsid w:val="00373916"/>
    <w:rsid w:val="00396F5B"/>
    <w:rsid w:val="003A5B10"/>
    <w:rsid w:val="003B1A99"/>
    <w:rsid w:val="003C20A6"/>
    <w:rsid w:val="003C620C"/>
    <w:rsid w:val="003E28E5"/>
    <w:rsid w:val="003E36F8"/>
    <w:rsid w:val="0043548A"/>
    <w:rsid w:val="00440070"/>
    <w:rsid w:val="00462A1E"/>
    <w:rsid w:val="0047324D"/>
    <w:rsid w:val="004A1C3C"/>
    <w:rsid w:val="004B550B"/>
    <w:rsid w:val="004D01A2"/>
    <w:rsid w:val="004E00B2"/>
    <w:rsid w:val="00500F59"/>
    <w:rsid w:val="0051226A"/>
    <w:rsid w:val="00540FAF"/>
    <w:rsid w:val="0056604F"/>
    <w:rsid w:val="00572933"/>
    <w:rsid w:val="00584BBB"/>
    <w:rsid w:val="005A1BA2"/>
    <w:rsid w:val="005A2D1B"/>
    <w:rsid w:val="005C0B44"/>
    <w:rsid w:val="005D6092"/>
    <w:rsid w:val="005E3D71"/>
    <w:rsid w:val="005E69A5"/>
    <w:rsid w:val="005F2E1A"/>
    <w:rsid w:val="005F4ABA"/>
    <w:rsid w:val="005F74C3"/>
    <w:rsid w:val="0061591D"/>
    <w:rsid w:val="00615F66"/>
    <w:rsid w:val="00634058"/>
    <w:rsid w:val="006350B0"/>
    <w:rsid w:val="00650647"/>
    <w:rsid w:val="00663CA2"/>
    <w:rsid w:val="006724B3"/>
    <w:rsid w:val="006763E5"/>
    <w:rsid w:val="006915F4"/>
    <w:rsid w:val="006C3D81"/>
    <w:rsid w:val="006C6AB2"/>
    <w:rsid w:val="006D2453"/>
    <w:rsid w:val="006E590E"/>
    <w:rsid w:val="006F2010"/>
    <w:rsid w:val="006F400A"/>
    <w:rsid w:val="0070668B"/>
    <w:rsid w:val="007128F0"/>
    <w:rsid w:val="00716CEE"/>
    <w:rsid w:val="00727D07"/>
    <w:rsid w:val="007319F6"/>
    <w:rsid w:val="00733740"/>
    <w:rsid w:val="007373FC"/>
    <w:rsid w:val="007401D2"/>
    <w:rsid w:val="00757801"/>
    <w:rsid w:val="00773917"/>
    <w:rsid w:val="007B5FF0"/>
    <w:rsid w:val="007C4EB0"/>
    <w:rsid w:val="007E61B2"/>
    <w:rsid w:val="007F291E"/>
    <w:rsid w:val="0082548E"/>
    <w:rsid w:val="00833D3A"/>
    <w:rsid w:val="00837858"/>
    <w:rsid w:val="00844468"/>
    <w:rsid w:val="0084646E"/>
    <w:rsid w:val="00857F37"/>
    <w:rsid w:val="00861D66"/>
    <w:rsid w:val="00866FF9"/>
    <w:rsid w:val="0086706E"/>
    <w:rsid w:val="00896865"/>
    <w:rsid w:val="008A697E"/>
    <w:rsid w:val="008B62EB"/>
    <w:rsid w:val="008C01D6"/>
    <w:rsid w:val="008C7DCE"/>
    <w:rsid w:val="008D18EC"/>
    <w:rsid w:val="0090216D"/>
    <w:rsid w:val="00906B63"/>
    <w:rsid w:val="00957625"/>
    <w:rsid w:val="009800A0"/>
    <w:rsid w:val="0098147D"/>
    <w:rsid w:val="00981C7B"/>
    <w:rsid w:val="0098458A"/>
    <w:rsid w:val="00986E63"/>
    <w:rsid w:val="009B67D2"/>
    <w:rsid w:val="009E3EC0"/>
    <w:rsid w:val="00A2462A"/>
    <w:rsid w:val="00A25FFE"/>
    <w:rsid w:val="00A2739D"/>
    <w:rsid w:val="00A5217E"/>
    <w:rsid w:val="00A530FF"/>
    <w:rsid w:val="00A53413"/>
    <w:rsid w:val="00A67513"/>
    <w:rsid w:val="00A8646A"/>
    <w:rsid w:val="00AD7F4C"/>
    <w:rsid w:val="00B01F58"/>
    <w:rsid w:val="00B065FD"/>
    <w:rsid w:val="00B10641"/>
    <w:rsid w:val="00B12B59"/>
    <w:rsid w:val="00B130B2"/>
    <w:rsid w:val="00B161C9"/>
    <w:rsid w:val="00B233EC"/>
    <w:rsid w:val="00B26650"/>
    <w:rsid w:val="00B3475B"/>
    <w:rsid w:val="00B4290B"/>
    <w:rsid w:val="00B4297A"/>
    <w:rsid w:val="00B52B1B"/>
    <w:rsid w:val="00B56256"/>
    <w:rsid w:val="00B70BB8"/>
    <w:rsid w:val="00B84DC8"/>
    <w:rsid w:val="00B86E9D"/>
    <w:rsid w:val="00B91C33"/>
    <w:rsid w:val="00B926CE"/>
    <w:rsid w:val="00BB45E1"/>
    <w:rsid w:val="00BC0FEA"/>
    <w:rsid w:val="00C2541D"/>
    <w:rsid w:val="00C315D3"/>
    <w:rsid w:val="00C57C86"/>
    <w:rsid w:val="00C65AE4"/>
    <w:rsid w:val="00C729FC"/>
    <w:rsid w:val="00C94934"/>
    <w:rsid w:val="00CB5C57"/>
    <w:rsid w:val="00CD2B0A"/>
    <w:rsid w:val="00D20F8C"/>
    <w:rsid w:val="00D219EF"/>
    <w:rsid w:val="00D243A9"/>
    <w:rsid w:val="00D4460B"/>
    <w:rsid w:val="00D536ED"/>
    <w:rsid w:val="00D82592"/>
    <w:rsid w:val="00D9291B"/>
    <w:rsid w:val="00DC0918"/>
    <w:rsid w:val="00DC4114"/>
    <w:rsid w:val="00DE72E8"/>
    <w:rsid w:val="00E15400"/>
    <w:rsid w:val="00E259DA"/>
    <w:rsid w:val="00E27069"/>
    <w:rsid w:val="00E415E4"/>
    <w:rsid w:val="00E448C7"/>
    <w:rsid w:val="00E717A7"/>
    <w:rsid w:val="00E925CC"/>
    <w:rsid w:val="00EA7CF1"/>
    <w:rsid w:val="00EB0364"/>
    <w:rsid w:val="00ED0AFB"/>
    <w:rsid w:val="00ED6706"/>
    <w:rsid w:val="00EE3973"/>
    <w:rsid w:val="00EE3F7E"/>
    <w:rsid w:val="00EE50A4"/>
    <w:rsid w:val="00EF0A23"/>
    <w:rsid w:val="00F14EFE"/>
    <w:rsid w:val="00F20983"/>
    <w:rsid w:val="00F37F8A"/>
    <w:rsid w:val="00F56F58"/>
    <w:rsid w:val="00F62609"/>
    <w:rsid w:val="00F928CC"/>
    <w:rsid w:val="00FA52F2"/>
    <w:rsid w:val="00FF124D"/>
    <w:rsid w:val="0102329E"/>
    <w:rsid w:val="018A6F8E"/>
    <w:rsid w:val="01ED6CAD"/>
    <w:rsid w:val="02101814"/>
    <w:rsid w:val="02312F7F"/>
    <w:rsid w:val="02B67118"/>
    <w:rsid w:val="02E417B4"/>
    <w:rsid w:val="02EB7BDC"/>
    <w:rsid w:val="03010501"/>
    <w:rsid w:val="03383FE1"/>
    <w:rsid w:val="03AC5C33"/>
    <w:rsid w:val="04073461"/>
    <w:rsid w:val="04527C07"/>
    <w:rsid w:val="04BB7392"/>
    <w:rsid w:val="04E0342C"/>
    <w:rsid w:val="04FB619D"/>
    <w:rsid w:val="05024355"/>
    <w:rsid w:val="052721DE"/>
    <w:rsid w:val="056E6A58"/>
    <w:rsid w:val="059B5F98"/>
    <w:rsid w:val="05D97B0E"/>
    <w:rsid w:val="05FB7358"/>
    <w:rsid w:val="06201292"/>
    <w:rsid w:val="06574387"/>
    <w:rsid w:val="06952298"/>
    <w:rsid w:val="06A11F4D"/>
    <w:rsid w:val="06CF4B4A"/>
    <w:rsid w:val="06D2062E"/>
    <w:rsid w:val="0713098B"/>
    <w:rsid w:val="077F1980"/>
    <w:rsid w:val="07844BDD"/>
    <w:rsid w:val="078E3692"/>
    <w:rsid w:val="07D85768"/>
    <w:rsid w:val="08317E77"/>
    <w:rsid w:val="084B1190"/>
    <w:rsid w:val="08835478"/>
    <w:rsid w:val="08A51F9E"/>
    <w:rsid w:val="08B21D38"/>
    <w:rsid w:val="08E66C5C"/>
    <w:rsid w:val="09053C13"/>
    <w:rsid w:val="095128CD"/>
    <w:rsid w:val="095B6596"/>
    <w:rsid w:val="09BD6D84"/>
    <w:rsid w:val="09C07255"/>
    <w:rsid w:val="09C82D99"/>
    <w:rsid w:val="09CF74C7"/>
    <w:rsid w:val="09D87234"/>
    <w:rsid w:val="0A0B6164"/>
    <w:rsid w:val="0A0B7C4F"/>
    <w:rsid w:val="0A1C5D08"/>
    <w:rsid w:val="0A4B02CE"/>
    <w:rsid w:val="0A4B321F"/>
    <w:rsid w:val="0A5B3722"/>
    <w:rsid w:val="0AA33890"/>
    <w:rsid w:val="0AAA041C"/>
    <w:rsid w:val="0ABB1EB5"/>
    <w:rsid w:val="0ABC4110"/>
    <w:rsid w:val="0ADF3BD0"/>
    <w:rsid w:val="0B427654"/>
    <w:rsid w:val="0B5213E1"/>
    <w:rsid w:val="0B591B6B"/>
    <w:rsid w:val="0B881222"/>
    <w:rsid w:val="0B8B450A"/>
    <w:rsid w:val="0BF17F67"/>
    <w:rsid w:val="0D101492"/>
    <w:rsid w:val="0D7A0B23"/>
    <w:rsid w:val="0DD47C98"/>
    <w:rsid w:val="0DEB5CE5"/>
    <w:rsid w:val="0E35145B"/>
    <w:rsid w:val="0E8830D8"/>
    <w:rsid w:val="0EBD7820"/>
    <w:rsid w:val="0EFC5A3D"/>
    <w:rsid w:val="0F016691"/>
    <w:rsid w:val="0F8E07D8"/>
    <w:rsid w:val="0FB80C07"/>
    <w:rsid w:val="100077D3"/>
    <w:rsid w:val="103C71D3"/>
    <w:rsid w:val="106A7685"/>
    <w:rsid w:val="10A020E6"/>
    <w:rsid w:val="10CF75A7"/>
    <w:rsid w:val="10E70180"/>
    <w:rsid w:val="113600EA"/>
    <w:rsid w:val="115E2A5A"/>
    <w:rsid w:val="11BB361A"/>
    <w:rsid w:val="12253870"/>
    <w:rsid w:val="12300092"/>
    <w:rsid w:val="12351170"/>
    <w:rsid w:val="123F3DC9"/>
    <w:rsid w:val="125F5BF9"/>
    <w:rsid w:val="12636F5E"/>
    <w:rsid w:val="12651167"/>
    <w:rsid w:val="12AC581E"/>
    <w:rsid w:val="12E73703"/>
    <w:rsid w:val="130F68FB"/>
    <w:rsid w:val="13355582"/>
    <w:rsid w:val="13363321"/>
    <w:rsid w:val="13651316"/>
    <w:rsid w:val="139548BD"/>
    <w:rsid w:val="13B33D97"/>
    <w:rsid w:val="13B94B67"/>
    <w:rsid w:val="13C31808"/>
    <w:rsid w:val="13EB5978"/>
    <w:rsid w:val="143160E1"/>
    <w:rsid w:val="143F31D6"/>
    <w:rsid w:val="144420BF"/>
    <w:rsid w:val="144806D1"/>
    <w:rsid w:val="14554F5C"/>
    <w:rsid w:val="146229DA"/>
    <w:rsid w:val="14641D97"/>
    <w:rsid w:val="146469D0"/>
    <w:rsid w:val="14B80434"/>
    <w:rsid w:val="14BE0F97"/>
    <w:rsid w:val="14F2332E"/>
    <w:rsid w:val="14F60324"/>
    <w:rsid w:val="15230C34"/>
    <w:rsid w:val="155D39E4"/>
    <w:rsid w:val="155D4821"/>
    <w:rsid w:val="15F17EEB"/>
    <w:rsid w:val="163634D9"/>
    <w:rsid w:val="163718EA"/>
    <w:rsid w:val="164E7E24"/>
    <w:rsid w:val="16572603"/>
    <w:rsid w:val="169436A1"/>
    <w:rsid w:val="16FB407A"/>
    <w:rsid w:val="171E004C"/>
    <w:rsid w:val="173F4BF0"/>
    <w:rsid w:val="17BF1BB6"/>
    <w:rsid w:val="17C80E4E"/>
    <w:rsid w:val="17DB50D7"/>
    <w:rsid w:val="182B6D6B"/>
    <w:rsid w:val="18895663"/>
    <w:rsid w:val="18D54C88"/>
    <w:rsid w:val="18DE65EB"/>
    <w:rsid w:val="18F12639"/>
    <w:rsid w:val="18FD6DD7"/>
    <w:rsid w:val="19064BE5"/>
    <w:rsid w:val="190E483B"/>
    <w:rsid w:val="192F4D03"/>
    <w:rsid w:val="193A3E7C"/>
    <w:rsid w:val="19555E3F"/>
    <w:rsid w:val="1A14741E"/>
    <w:rsid w:val="1A3127D7"/>
    <w:rsid w:val="1A673561"/>
    <w:rsid w:val="1A693A0A"/>
    <w:rsid w:val="1A762903"/>
    <w:rsid w:val="1A7797C9"/>
    <w:rsid w:val="1AB27E6A"/>
    <w:rsid w:val="1ADA4FB3"/>
    <w:rsid w:val="1AE26439"/>
    <w:rsid w:val="1B2E00FC"/>
    <w:rsid w:val="1B5F57B1"/>
    <w:rsid w:val="1BAE3A6F"/>
    <w:rsid w:val="1BB45A61"/>
    <w:rsid w:val="1C121932"/>
    <w:rsid w:val="1C1F28DB"/>
    <w:rsid w:val="1C21414B"/>
    <w:rsid w:val="1CAA155C"/>
    <w:rsid w:val="1CC30F56"/>
    <w:rsid w:val="1CF232D8"/>
    <w:rsid w:val="1D774C33"/>
    <w:rsid w:val="1D927426"/>
    <w:rsid w:val="1DAE3C47"/>
    <w:rsid w:val="1DD03CB2"/>
    <w:rsid w:val="1DEC7622"/>
    <w:rsid w:val="1DF25181"/>
    <w:rsid w:val="1E1B79DB"/>
    <w:rsid w:val="1E273D63"/>
    <w:rsid w:val="1E54417D"/>
    <w:rsid w:val="1E9108B0"/>
    <w:rsid w:val="1E9653CA"/>
    <w:rsid w:val="1E9A1D40"/>
    <w:rsid w:val="1EC57FFA"/>
    <w:rsid w:val="1EDB2FC8"/>
    <w:rsid w:val="1F1C3E47"/>
    <w:rsid w:val="1F2E73A0"/>
    <w:rsid w:val="1F3F3354"/>
    <w:rsid w:val="1FCE59BE"/>
    <w:rsid w:val="1FDA7516"/>
    <w:rsid w:val="202D01DC"/>
    <w:rsid w:val="202D5CF5"/>
    <w:rsid w:val="206B4AA0"/>
    <w:rsid w:val="20967B54"/>
    <w:rsid w:val="20F703B7"/>
    <w:rsid w:val="21105DBB"/>
    <w:rsid w:val="21B86DCC"/>
    <w:rsid w:val="21CB302D"/>
    <w:rsid w:val="21E409B4"/>
    <w:rsid w:val="22305E86"/>
    <w:rsid w:val="22BA42BE"/>
    <w:rsid w:val="22CA1635"/>
    <w:rsid w:val="22CE6F83"/>
    <w:rsid w:val="22F36DE1"/>
    <w:rsid w:val="235F7131"/>
    <w:rsid w:val="23636466"/>
    <w:rsid w:val="23660F21"/>
    <w:rsid w:val="23977485"/>
    <w:rsid w:val="23C87035"/>
    <w:rsid w:val="23E47D3C"/>
    <w:rsid w:val="240E43FC"/>
    <w:rsid w:val="244F6D7A"/>
    <w:rsid w:val="24B63721"/>
    <w:rsid w:val="24FA61D7"/>
    <w:rsid w:val="250E30DE"/>
    <w:rsid w:val="252124F8"/>
    <w:rsid w:val="254C2315"/>
    <w:rsid w:val="256079DF"/>
    <w:rsid w:val="258B637D"/>
    <w:rsid w:val="259072C8"/>
    <w:rsid w:val="25EC1246"/>
    <w:rsid w:val="25F5343D"/>
    <w:rsid w:val="26075636"/>
    <w:rsid w:val="262C20F9"/>
    <w:rsid w:val="268A2F42"/>
    <w:rsid w:val="269A4311"/>
    <w:rsid w:val="26D246AD"/>
    <w:rsid w:val="26D2491F"/>
    <w:rsid w:val="26DF1D6F"/>
    <w:rsid w:val="273122D6"/>
    <w:rsid w:val="27471A90"/>
    <w:rsid w:val="276723D6"/>
    <w:rsid w:val="27897505"/>
    <w:rsid w:val="279670A8"/>
    <w:rsid w:val="27AE6F91"/>
    <w:rsid w:val="282500D5"/>
    <w:rsid w:val="28323A91"/>
    <w:rsid w:val="28660E7F"/>
    <w:rsid w:val="28747BBC"/>
    <w:rsid w:val="288D24F7"/>
    <w:rsid w:val="289C5384"/>
    <w:rsid w:val="294E3BC3"/>
    <w:rsid w:val="296B3459"/>
    <w:rsid w:val="29B86D37"/>
    <w:rsid w:val="29BE3956"/>
    <w:rsid w:val="2A105314"/>
    <w:rsid w:val="2A1D2D31"/>
    <w:rsid w:val="2A1F2789"/>
    <w:rsid w:val="2A275088"/>
    <w:rsid w:val="2A3678C1"/>
    <w:rsid w:val="2A637003"/>
    <w:rsid w:val="2A9A614D"/>
    <w:rsid w:val="2ACB422E"/>
    <w:rsid w:val="2ADD3FF6"/>
    <w:rsid w:val="2AFD1076"/>
    <w:rsid w:val="2B117F8D"/>
    <w:rsid w:val="2B405175"/>
    <w:rsid w:val="2B532D1F"/>
    <w:rsid w:val="2B7303E8"/>
    <w:rsid w:val="2B7A1A4B"/>
    <w:rsid w:val="2BE015F9"/>
    <w:rsid w:val="2C53141F"/>
    <w:rsid w:val="2C5C24CD"/>
    <w:rsid w:val="2CA3722F"/>
    <w:rsid w:val="2CBB055A"/>
    <w:rsid w:val="2CCA66E2"/>
    <w:rsid w:val="2D3E38D9"/>
    <w:rsid w:val="2DA54A3C"/>
    <w:rsid w:val="2E0C3F40"/>
    <w:rsid w:val="2E286D31"/>
    <w:rsid w:val="2E3807EB"/>
    <w:rsid w:val="2ED335B0"/>
    <w:rsid w:val="2F8C35BB"/>
    <w:rsid w:val="2FFE603D"/>
    <w:rsid w:val="30B6612B"/>
    <w:rsid w:val="30C92EA7"/>
    <w:rsid w:val="30D13FDD"/>
    <w:rsid w:val="30E2168A"/>
    <w:rsid w:val="30F10EA1"/>
    <w:rsid w:val="313F3377"/>
    <w:rsid w:val="318F0859"/>
    <w:rsid w:val="31940808"/>
    <w:rsid w:val="319E1E2A"/>
    <w:rsid w:val="31C600E4"/>
    <w:rsid w:val="3270672B"/>
    <w:rsid w:val="32DB7A77"/>
    <w:rsid w:val="32EB25E2"/>
    <w:rsid w:val="33193C42"/>
    <w:rsid w:val="332141B2"/>
    <w:rsid w:val="33386B9D"/>
    <w:rsid w:val="333C38CA"/>
    <w:rsid w:val="33EE22CD"/>
    <w:rsid w:val="34764CA7"/>
    <w:rsid w:val="34785A9E"/>
    <w:rsid w:val="34A63434"/>
    <w:rsid w:val="354E7D0E"/>
    <w:rsid w:val="355D0A59"/>
    <w:rsid w:val="356D32E9"/>
    <w:rsid w:val="35717B14"/>
    <w:rsid w:val="358A7D8D"/>
    <w:rsid w:val="359411F6"/>
    <w:rsid w:val="359A2843"/>
    <w:rsid w:val="35AB5CE6"/>
    <w:rsid w:val="35B86AC4"/>
    <w:rsid w:val="35D17021"/>
    <w:rsid w:val="367B5043"/>
    <w:rsid w:val="36BB09C9"/>
    <w:rsid w:val="36CC1837"/>
    <w:rsid w:val="37042B77"/>
    <w:rsid w:val="372C30AE"/>
    <w:rsid w:val="37813870"/>
    <w:rsid w:val="37C70E68"/>
    <w:rsid w:val="37F3547C"/>
    <w:rsid w:val="380E61AF"/>
    <w:rsid w:val="386D6D94"/>
    <w:rsid w:val="38E156A9"/>
    <w:rsid w:val="39305BD3"/>
    <w:rsid w:val="39436480"/>
    <w:rsid w:val="396F4D44"/>
    <w:rsid w:val="398D0F5E"/>
    <w:rsid w:val="39987F07"/>
    <w:rsid w:val="39BA7FF4"/>
    <w:rsid w:val="39C068BA"/>
    <w:rsid w:val="39F11B5E"/>
    <w:rsid w:val="3A291429"/>
    <w:rsid w:val="3A4B23D4"/>
    <w:rsid w:val="3A8D4B24"/>
    <w:rsid w:val="3AD93639"/>
    <w:rsid w:val="3B216411"/>
    <w:rsid w:val="3B546FE4"/>
    <w:rsid w:val="3B5713FA"/>
    <w:rsid w:val="3B92293D"/>
    <w:rsid w:val="3BC922AB"/>
    <w:rsid w:val="3C050724"/>
    <w:rsid w:val="3C1736A5"/>
    <w:rsid w:val="3CFF47B2"/>
    <w:rsid w:val="3D4F5376"/>
    <w:rsid w:val="3D554FB8"/>
    <w:rsid w:val="3D5863F0"/>
    <w:rsid w:val="3D9F041D"/>
    <w:rsid w:val="3DC34B27"/>
    <w:rsid w:val="3E497AAF"/>
    <w:rsid w:val="3E920E52"/>
    <w:rsid w:val="3EA37845"/>
    <w:rsid w:val="3EB54E0F"/>
    <w:rsid w:val="3EC22AD9"/>
    <w:rsid w:val="3EE77193"/>
    <w:rsid w:val="3F090B78"/>
    <w:rsid w:val="3F2131FE"/>
    <w:rsid w:val="3F2600B3"/>
    <w:rsid w:val="3F4E23F2"/>
    <w:rsid w:val="3F5D7377"/>
    <w:rsid w:val="3F6B3307"/>
    <w:rsid w:val="3FC50012"/>
    <w:rsid w:val="3FF32EF3"/>
    <w:rsid w:val="40507CAD"/>
    <w:rsid w:val="405154E2"/>
    <w:rsid w:val="40553120"/>
    <w:rsid w:val="40D05B55"/>
    <w:rsid w:val="40DA3AD0"/>
    <w:rsid w:val="40E16B61"/>
    <w:rsid w:val="41094F26"/>
    <w:rsid w:val="415F2A90"/>
    <w:rsid w:val="416249FF"/>
    <w:rsid w:val="41904A86"/>
    <w:rsid w:val="41BB3079"/>
    <w:rsid w:val="428110AB"/>
    <w:rsid w:val="42AA77B3"/>
    <w:rsid w:val="42D81D58"/>
    <w:rsid w:val="430626EC"/>
    <w:rsid w:val="432916EC"/>
    <w:rsid w:val="4343252D"/>
    <w:rsid w:val="43713144"/>
    <w:rsid w:val="43C951D3"/>
    <w:rsid w:val="43CC392D"/>
    <w:rsid w:val="447A6DA3"/>
    <w:rsid w:val="44DF4C41"/>
    <w:rsid w:val="44F76546"/>
    <w:rsid w:val="4575087C"/>
    <w:rsid w:val="45A92AC0"/>
    <w:rsid w:val="45D86FDA"/>
    <w:rsid w:val="45E507EC"/>
    <w:rsid w:val="45E93A34"/>
    <w:rsid w:val="461C7EFC"/>
    <w:rsid w:val="46553249"/>
    <w:rsid w:val="46DD3806"/>
    <w:rsid w:val="46EB5B01"/>
    <w:rsid w:val="470E5EB4"/>
    <w:rsid w:val="47322D79"/>
    <w:rsid w:val="47603FBB"/>
    <w:rsid w:val="47904085"/>
    <w:rsid w:val="479823C7"/>
    <w:rsid w:val="47A04B31"/>
    <w:rsid w:val="47EE2F89"/>
    <w:rsid w:val="480565DA"/>
    <w:rsid w:val="48155CEF"/>
    <w:rsid w:val="481E30D0"/>
    <w:rsid w:val="485F78CA"/>
    <w:rsid w:val="4865148F"/>
    <w:rsid w:val="48954CDB"/>
    <w:rsid w:val="48AD4C5E"/>
    <w:rsid w:val="48E33C9E"/>
    <w:rsid w:val="48E93B29"/>
    <w:rsid w:val="49092436"/>
    <w:rsid w:val="493B28CD"/>
    <w:rsid w:val="49A00A7C"/>
    <w:rsid w:val="49CB2C5D"/>
    <w:rsid w:val="49D93EA4"/>
    <w:rsid w:val="4A5F5476"/>
    <w:rsid w:val="4AA113D0"/>
    <w:rsid w:val="4AC4029B"/>
    <w:rsid w:val="4ACF3D7E"/>
    <w:rsid w:val="4B0A3F59"/>
    <w:rsid w:val="4B485C7A"/>
    <w:rsid w:val="4B52639A"/>
    <w:rsid w:val="4B656078"/>
    <w:rsid w:val="4B7C3291"/>
    <w:rsid w:val="4BAA258B"/>
    <w:rsid w:val="4BB853A3"/>
    <w:rsid w:val="4C1443C4"/>
    <w:rsid w:val="4C41667B"/>
    <w:rsid w:val="4C9D25A9"/>
    <w:rsid w:val="4D133619"/>
    <w:rsid w:val="4D3059B4"/>
    <w:rsid w:val="4D6B308D"/>
    <w:rsid w:val="4DA94398"/>
    <w:rsid w:val="4DE82B06"/>
    <w:rsid w:val="4E100B6B"/>
    <w:rsid w:val="4E1B6CF0"/>
    <w:rsid w:val="4E251EEC"/>
    <w:rsid w:val="4E376B49"/>
    <w:rsid w:val="4E4A5B19"/>
    <w:rsid w:val="4E760E4A"/>
    <w:rsid w:val="4EA74AE8"/>
    <w:rsid w:val="4EDA5548"/>
    <w:rsid w:val="4F384A38"/>
    <w:rsid w:val="4F5C405E"/>
    <w:rsid w:val="4FFB2DD8"/>
    <w:rsid w:val="50166CFB"/>
    <w:rsid w:val="50282366"/>
    <w:rsid w:val="502F5742"/>
    <w:rsid w:val="50615B25"/>
    <w:rsid w:val="506A188C"/>
    <w:rsid w:val="50DD30AF"/>
    <w:rsid w:val="50EC3CED"/>
    <w:rsid w:val="51102A55"/>
    <w:rsid w:val="511D013D"/>
    <w:rsid w:val="51346DFD"/>
    <w:rsid w:val="514B0823"/>
    <w:rsid w:val="51562D9D"/>
    <w:rsid w:val="51927057"/>
    <w:rsid w:val="51A65509"/>
    <w:rsid w:val="52033A6F"/>
    <w:rsid w:val="52124969"/>
    <w:rsid w:val="52B16E01"/>
    <w:rsid w:val="52B4508D"/>
    <w:rsid w:val="52CE67BE"/>
    <w:rsid w:val="530B7FAD"/>
    <w:rsid w:val="530F6D3F"/>
    <w:rsid w:val="533566BD"/>
    <w:rsid w:val="5374028C"/>
    <w:rsid w:val="53771B75"/>
    <w:rsid w:val="53B74F1B"/>
    <w:rsid w:val="53C56D3F"/>
    <w:rsid w:val="53F0413A"/>
    <w:rsid w:val="543E15B2"/>
    <w:rsid w:val="54595B19"/>
    <w:rsid w:val="548E3523"/>
    <w:rsid w:val="54E90D9D"/>
    <w:rsid w:val="54F02497"/>
    <w:rsid w:val="551C7DE8"/>
    <w:rsid w:val="55AD2B43"/>
    <w:rsid w:val="55C209E8"/>
    <w:rsid w:val="55C27608"/>
    <w:rsid w:val="55CA0E9D"/>
    <w:rsid w:val="55DD5BE9"/>
    <w:rsid w:val="56430D92"/>
    <w:rsid w:val="56461242"/>
    <w:rsid w:val="56631FAE"/>
    <w:rsid w:val="56A10AA6"/>
    <w:rsid w:val="57546AEA"/>
    <w:rsid w:val="575E5F0A"/>
    <w:rsid w:val="57763DCC"/>
    <w:rsid w:val="57BD001C"/>
    <w:rsid w:val="58663766"/>
    <w:rsid w:val="587444C4"/>
    <w:rsid w:val="58BB6425"/>
    <w:rsid w:val="58FF1F0C"/>
    <w:rsid w:val="5919772E"/>
    <w:rsid w:val="59524DB0"/>
    <w:rsid w:val="59747466"/>
    <w:rsid w:val="59AD2CE9"/>
    <w:rsid w:val="59C63FF9"/>
    <w:rsid w:val="5A16709A"/>
    <w:rsid w:val="5A394131"/>
    <w:rsid w:val="5A5933C5"/>
    <w:rsid w:val="5A7D3F05"/>
    <w:rsid w:val="5A9670A5"/>
    <w:rsid w:val="5AD62F97"/>
    <w:rsid w:val="5B3003D9"/>
    <w:rsid w:val="5B4877B3"/>
    <w:rsid w:val="5B621E0D"/>
    <w:rsid w:val="5B692A7C"/>
    <w:rsid w:val="5B7127C4"/>
    <w:rsid w:val="5C172D84"/>
    <w:rsid w:val="5C3B6AA6"/>
    <w:rsid w:val="5C627F2C"/>
    <w:rsid w:val="5C8136A9"/>
    <w:rsid w:val="5C8857A8"/>
    <w:rsid w:val="5CDD2DE0"/>
    <w:rsid w:val="5D10782C"/>
    <w:rsid w:val="5D180889"/>
    <w:rsid w:val="5D2E71C8"/>
    <w:rsid w:val="5D5C7E5D"/>
    <w:rsid w:val="5DD421FC"/>
    <w:rsid w:val="5DFC0077"/>
    <w:rsid w:val="5DFD017F"/>
    <w:rsid w:val="5E011E8B"/>
    <w:rsid w:val="5E135184"/>
    <w:rsid w:val="5E2E72B1"/>
    <w:rsid w:val="5E984E6D"/>
    <w:rsid w:val="5EE927E2"/>
    <w:rsid w:val="5F564BA0"/>
    <w:rsid w:val="5F9B2E68"/>
    <w:rsid w:val="5FA83469"/>
    <w:rsid w:val="5FAF4B98"/>
    <w:rsid w:val="5FC54047"/>
    <w:rsid w:val="5FDD5C4B"/>
    <w:rsid w:val="60162899"/>
    <w:rsid w:val="6024379E"/>
    <w:rsid w:val="60657086"/>
    <w:rsid w:val="6094456E"/>
    <w:rsid w:val="60A61B1B"/>
    <w:rsid w:val="613D3FB7"/>
    <w:rsid w:val="614A3F98"/>
    <w:rsid w:val="615E2572"/>
    <w:rsid w:val="61AE4B46"/>
    <w:rsid w:val="622905AE"/>
    <w:rsid w:val="62D570BE"/>
    <w:rsid w:val="63314ED7"/>
    <w:rsid w:val="63356453"/>
    <w:rsid w:val="63442DEB"/>
    <w:rsid w:val="634819AE"/>
    <w:rsid w:val="635131FB"/>
    <w:rsid w:val="635820EF"/>
    <w:rsid w:val="63614E87"/>
    <w:rsid w:val="63961CEA"/>
    <w:rsid w:val="63BC461C"/>
    <w:rsid w:val="63CA13EB"/>
    <w:rsid w:val="63CE71E1"/>
    <w:rsid w:val="63F456D8"/>
    <w:rsid w:val="63F4786F"/>
    <w:rsid w:val="64B51E00"/>
    <w:rsid w:val="64BE7F07"/>
    <w:rsid w:val="64D87FE9"/>
    <w:rsid w:val="64E22714"/>
    <w:rsid w:val="650C0D82"/>
    <w:rsid w:val="650F6EA2"/>
    <w:rsid w:val="653330E1"/>
    <w:rsid w:val="655A1BD0"/>
    <w:rsid w:val="656778C4"/>
    <w:rsid w:val="65A06CD1"/>
    <w:rsid w:val="65C64FA6"/>
    <w:rsid w:val="65CC17F9"/>
    <w:rsid w:val="65DF454B"/>
    <w:rsid w:val="667B1B76"/>
    <w:rsid w:val="66874914"/>
    <w:rsid w:val="669E3ED4"/>
    <w:rsid w:val="67092288"/>
    <w:rsid w:val="67305FC3"/>
    <w:rsid w:val="67B06ED9"/>
    <w:rsid w:val="67F65497"/>
    <w:rsid w:val="685F3A82"/>
    <w:rsid w:val="688B53D9"/>
    <w:rsid w:val="68D01B4E"/>
    <w:rsid w:val="68DC0C2B"/>
    <w:rsid w:val="693244F5"/>
    <w:rsid w:val="694E0222"/>
    <w:rsid w:val="69501DF9"/>
    <w:rsid w:val="698B1241"/>
    <w:rsid w:val="69C00024"/>
    <w:rsid w:val="69EB1A07"/>
    <w:rsid w:val="69F04AE0"/>
    <w:rsid w:val="69F511B4"/>
    <w:rsid w:val="6A09007B"/>
    <w:rsid w:val="6A1A6FA0"/>
    <w:rsid w:val="6A1D1186"/>
    <w:rsid w:val="6A820EB2"/>
    <w:rsid w:val="6ABB6056"/>
    <w:rsid w:val="6AC661CD"/>
    <w:rsid w:val="6AE13C1C"/>
    <w:rsid w:val="6B575643"/>
    <w:rsid w:val="6B697B8C"/>
    <w:rsid w:val="6B946FE4"/>
    <w:rsid w:val="6C051181"/>
    <w:rsid w:val="6C3317ED"/>
    <w:rsid w:val="6CA547AE"/>
    <w:rsid w:val="6CF92BE1"/>
    <w:rsid w:val="6D0A32EA"/>
    <w:rsid w:val="6D0A34D4"/>
    <w:rsid w:val="6D255665"/>
    <w:rsid w:val="6E1D7D2B"/>
    <w:rsid w:val="6E4A1AE5"/>
    <w:rsid w:val="6E8427DB"/>
    <w:rsid w:val="6ED14CA4"/>
    <w:rsid w:val="6F4A6502"/>
    <w:rsid w:val="6F5EA7E0"/>
    <w:rsid w:val="6F6C4601"/>
    <w:rsid w:val="6F7401A0"/>
    <w:rsid w:val="6F7D05EB"/>
    <w:rsid w:val="6FBD3F56"/>
    <w:rsid w:val="702A75DC"/>
    <w:rsid w:val="704C5E52"/>
    <w:rsid w:val="707079BA"/>
    <w:rsid w:val="713C0909"/>
    <w:rsid w:val="715B30BA"/>
    <w:rsid w:val="7208146B"/>
    <w:rsid w:val="720E5B05"/>
    <w:rsid w:val="72537531"/>
    <w:rsid w:val="72913D65"/>
    <w:rsid w:val="72DA30B7"/>
    <w:rsid w:val="730D6226"/>
    <w:rsid w:val="731131E6"/>
    <w:rsid w:val="731775A3"/>
    <w:rsid w:val="732620C0"/>
    <w:rsid w:val="73944970"/>
    <w:rsid w:val="73D55833"/>
    <w:rsid w:val="73FA53BB"/>
    <w:rsid w:val="741F7048"/>
    <w:rsid w:val="744C5FEB"/>
    <w:rsid w:val="744C62C0"/>
    <w:rsid w:val="74626FF6"/>
    <w:rsid w:val="746C429C"/>
    <w:rsid w:val="74E41CAC"/>
    <w:rsid w:val="74F50E3C"/>
    <w:rsid w:val="750C3CA6"/>
    <w:rsid w:val="769161AF"/>
    <w:rsid w:val="76A45151"/>
    <w:rsid w:val="76A53884"/>
    <w:rsid w:val="76B36D96"/>
    <w:rsid w:val="76B70AE3"/>
    <w:rsid w:val="76BD2A02"/>
    <w:rsid w:val="77383338"/>
    <w:rsid w:val="776B2CDC"/>
    <w:rsid w:val="776F416A"/>
    <w:rsid w:val="77DB49A2"/>
    <w:rsid w:val="77F26EE6"/>
    <w:rsid w:val="78137469"/>
    <w:rsid w:val="78454BDC"/>
    <w:rsid w:val="7865697C"/>
    <w:rsid w:val="78BD1776"/>
    <w:rsid w:val="78E42FBD"/>
    <w:rsid w:val="78E730F4"/>
    <w:rsid w:val="78EE49AF"/>
    <w:rsid w:val="798C3A4D"/>
    <w:rsid w:val="79C77818"/>
    <w:rsid w:val="79D15B7D"/>
    <w:rsid w:val="79EB3DD7"/>
    <w:rsid w:val="7A0B2B1E"/>
    <w:rsid w:val="7A0E6ADE"/>
    <w:rsid w:val="7A3212D3"/>
    <w:rsid w:val="7A940C99"/>
    <w:rsid w:val="7AA43496"/>
    <w:rsid w:val="7AA84881"/>
    <w:rsid w:val="7AE538C6"/>
    <w:rsid w:val="7B3F73D8"/>
    <w:rsid w:val="7B9E2441"/>
    <w:rsid w:val="7BF75541"/>
    <w:rsid w:val="7C631169"/>
    <w:rsid w:val="7CD42B97"/>
    <w:rsid w:val="7CD672B4"/>
    <w:rsid w:val="7CFB435F"/>
    <w:rsid w:val="7CFC445D"/>
    <w:rsid w:val="7D510EB5"/>
    <w:rsid w:val="7D53594E"/>
    <w:rsid w:val="7D6C617F"/>
    <w:rsid w:val="7DD04DDC"/>
    <w:rsid w:val="7E37247D"/>
    <w:rsid w:val="7E950366"/>
    <w:rsid w:val="7F1D70A2"/>
    <w:rsid w:val="7F985821"/>
    <w:rsid w:val="7FF35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28"/>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5"/>
    <w:link w:val="27"/>
    <w:qFormat/>
    <w:uiPriority w:val="0"/>
    <w:pPr>
      <w:keepNext/>
      <w:keepLines/>
      <w:pageBreakBefore/>
      <w:adjustRightInd/>
      <w:spacing w:after="120" w:line="240" w:lineRule="auto"/>
      <w:jc w:val="left"/>
      <w:textAlignment w:val="auto"/>
      <w:outlineLvl w:val="2"/>
    </w:pPr>
    <w:rPr>
      <w:rFonts w:eastAsia="黑体"/>
      <w:kern w:val="2"/>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spacing w:line="240" w:lineRule="auto"/>
      <w:ind w:firstLine="420"/>
      <w:textAlignment w:val="auto"/>
    </w:pPr>
    <w:rPr>
      <w:kern w:val="2"/>
    </w:rPr>
  </w:style>
  <w:style w:type="paragraph" w:styleId="6">
    <w:name w:val="annotation text"/>
    <w:basedOn w:val="1"/>
    <w:link w:val="25"/>
    <w:qFormat/>
    <w:uiPriority w:val="0"/>
    <w:pPr>
      <w:jc w:val="left"/>
    </w:pPr>
  </w:style>
  <w:style w:type="paragraph" w:styleId="7">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8">
    <w:name w:val="Balloon Text"/>
    <w:basedOn w:val="1"/>
    <w:link w:val="21"/>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toc 1"/>
    <w:basedOn w:val="1"/>
    <w:next w:val="1"/>
    <w:unhideWhenUsed/>
    <w:qFormat/>
    <w:uiPriority w:val="39"/>
    <w:pPr>
      <w:widowControl/>
      <w:tabs>
        <w:tab w:val="right" w:leader="dot" w:pos="8296"/>
      </w:tabs>
      <w:adjustRightInd/>
      <w:spacing w:before="500" w:after="500" w:line="480" w:lineRule="auto"/>
      <w:jc w:val="left"/>
      <w:textAlignment w:val="auto"/>
    </w:pPr>
    <w:rPr>
      <w:rFonts w:asciiTheme="minorHAnsi" w:hAnsiTheme="minorHAnsi" w:eastAsiaTheme="minorEastAsia"/>
      <w:sz w:val="22"/>
      <w:szCs w:val="22"/>
    </w:rPr>
  </w:style>
  <w:style w:type="paragraph" w:styleId="12">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paragraph" w:styleId="13">
    <w:name w:val="annotation subject"/>
    <w:basedOn w:val="6"/>
    <w:next w:val="6"/>
    <w:link w:val="26"/>
    <w:qFormat/>
    <w:uiPriority w:val="0"/>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rPr>
  </w:style>
  <w:style w:type="character" w:styleId="18">
    <w:name w:val="annotation reference"/>
    <w:basedOn w:val="16"/>
    <w:qFormat/>
    <w:uiPriority w:val="0"/>
    <w:rPr>
      <w:sz w:val="21"/>
      <w:szCs w:val="21"/>
    </w:rPr>
  </w:style>
  <w:style w:type="paragraph" w:styleId="19">
    <w:name w:val="List Paragraph"/>
    <w:basedOn w:val="1"/>
    <w:qFormat/>
    <w:uiPriority w:val="34"/>
    <w:pPr>
      <w:ind w:firstLine="420" w:firstLineChars="200"/>
    </w:pPr>
  </w:style>
  <w:style w:type="paragraph" w:styleId="2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1">
    <w:name w:val="批注框文本 字符"/>
    <w:basedOn w:val="16"/>
    <w:link w:val="8"/>
    <w:qFormat/>
    <w:uiPriority w:val="0"/>
    <w:rPr>
      <w:rFonts w:ascii="Times New Roman" w:hAnsi="Times New Roman" w:eastAsia="宋体" w:cs="Times New Roman"/>
      <w:sz w:val="18"/>
      <w:szCs w:val="18"/>
    </w:r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
    <w:name w:val="修订1"/>
    <w:hidden/>
    <w:unhideWhenUsed/>
    <w:qFormat/>
    <w:uiPriority w:val="99"/>
    <w:rPr>
      <w:rFonts w:ascii="Times New Roman" w:hAnsi="Times New Roman" w:eastAsia="宋体" w:cs="Times New Roman"/>
      <w:sz w:val="21"/>
      <w:lang w:val="en-US" w:eastAsia="zh-CN" w:bidi="ar-SA"/>
    </w:rPr>
  </w:style>
  <w:style w:type="character" w:customStyle="1" w:styleId="25">
    <w:name w:val="批注文字 字符"/>
    <w:basedOn w:val="16"/>
    <w:link w:val="6"/>
    <w:qFormat/>
    <w:uiPriority w:val="0"/>
    <w:rPr>
      <w:rFonts w:ascii="Times New Roman" w:hAnsi="Times New Roman" w:eastAsia="宋体" w:cs="Times New Roman"/>
      <w:sz w:val="21"/>
    </w:rPr>
  </w:style>
  <w:style w:type="character" w:customStyle="1" w:styleId="26">
    <w:name w:val="批注主题 字符"/>
    <w:basedOn w:val="25"/>
    <w:link w:val="13"/>
    <w:qFormat/>
    <w:uiPriority w:val="0"/>
    <w:rPr>
      <w:rFonts w:ascii="Times New Roman" w:hAnsi="Times New Roman" w:eastAsia="宋体" w:cs="Times New Roman"/>
      <w:b/>
      <w:bCs/>
      <w:sz w:val="21"/>
    </w:rPr>
  </w:style>
  <w:style w:type="character" w:customStyle="1" w:styleId="27">
    <w:name w:val="标题 3 字符"/>
    <w:basedOn w:val="16"/>
    <w:link w:val="4"/>
    <w:qFormat/>
    <w:uiPriority w:val="0"/>
    <w:rPr>
      <w:rFonts w:ascii="Times New Roman" w:hAnsi="Times New Roman" w:eastAsia="黑体" w:cs="Times New Roman"/>
      <w:kern w:val="2"/>
      <w:sz w:val="28"/>
    </w:rPr>
  </w:style>
  <w:style w:type="character" w:customStyle="1" w:styleId="28">
    <w:name w:val="标题 1 字符"/>
    <w:basedOn w:val="16"/>
    <w:link w:val="2"/>
    <w:qFormat/>
    <w:uiPriority w:val="0"/>
    <w:rPr>
      <w:rFonts w:ascii="Times New Roman" w:hAnsi="Times New Roman" w:eastAsia="宋体" w:cs="Times New Roman"/>
      <w:b/>
      <w:bCs/>
      <w:kern w:val="44"/>
      <w:sz w:val="44"/>
      <w:szCs w:val="44"/>
    </w:rPr>
  </w:style>
  <w:style w:type="paragraph" w:customStyle="1" w:styleId="29">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30">
    <w:name w:val="标题 2 字符"/>
    <w:basedOn w:val="16"/>
    <w:link w:val="3"/>
    <w:qFormat/>
    <w:uiPriority w:val="0"/>
    <w:rPr>
      <w:rFonts w:asciiTheme="majorHAnsi" w:hAnsiTheme="majorHAnsi" w:eastAsiaTheme="majorEastAsia" w:cstheme="majorBidi"/>
      <w:b/>
      <w:bCs/>
      <w:sz w:val="32"/>
      <w:szCs w:val="32"/>
    </w:rPr>
  </w:style>
  <w:style w:type="paragraph" w:customStyle="1" w:styleId="31">
    <w:name w:val="TOC Heading"/>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3D424-FF2E-4B7B-9BA9-F09AA92F87CC}">
  <ds:schemaRefs/>
</ds:datastoreItem>
</file>

<file path=docProps/app.xml><?xml version="1.0" encoding="utf-8"?>
<Properties xmlns="http://schemas.openxmlformats.org/officeDocument/2006/extended-properties" xmlns:vt="http://schemas.openxmlformats.org/officeDocument/2006/docPropsVTypes">
  <Template>Normal</Template>
  <Pages>8</Pages>
  <Words>3585</Words>
  <Characters>3597</Characters>
  <Lines>32</Lines>
  <Paragraphs>9</Paragraphs>
  <TotalTime>19</TotalTime>
  <ScaleCrop>false</ScaleCrop>
  <LinksUpToDate>false</LinksUpToDate>
  <CharactersWithSpaces>3704</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2019-10-08T19:49:00Z</dcterms:created>
  <dc:creator>咱俩的疯日子</dc:creator>
  <cp:lastModifiedBy>王炸啊</cp:lastModifiedBy>
  <cp:lastPrinted>2020-08-02T19:17:00Z</cp:lastPrinted>
  <dcterms:modified xsi:type="dcterms:W3CDTF">2026-03-09T22:02:21Z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2958E4D78E9C1506EDD2AE69EF69E947_43</vt:lpwstr>
  </property>
  <property fmtid="{D5CDD505-2E9C-101B-9397-08002B2CF9AE}" pid="4" name="KSOTemplateDocerSaveRecord">
    <vt:lpwstr>eyJoZGlkIjoiNTBjMTgwYWFhZjBhOGIyNmJlZjhkOWY1NGVmMDM3YjYiLCJ1c2VySWQiOiIxNzY0NDQ0NTgwIn0=</vt:lpwstr>
  </property>
</Properties>
</file>