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58450">
      <w:pPr>
        <w:spacing w:before="360" w:line="222" w:lineRule="auto"/>
        <w:jc w:val="center"/>
        <w:rPr>
          <w:rFonts w:hint="eastAsia" w:ascii="黑体" w:hAnsi="黑体" w:eastAsia="黑体" w:cs="黑体"/>
          <w:b/>
          <w:bCs/>
          <w:spacing w:val="-1"/>
          <w:sz w:val="32"/>
          <w:szCs w:val="32"/>
          <w:lang w:val="en-US" w:eastAsia="zh-CN"/>
        </w:rPr>
      </w:pPr>
      <w:r>
        <w:rPr>
          <w:rFonts w:hint="eastAsia" w:ascii="黑体" w:hAnsi="黑体" w:eastAsia="黑体" w:cs="黑体"/>
          <w:b/>
          <w:bCs/>
          <w:spacing w:val="-1"/>
          <w:sz w:val="32"/>
          <w:szCs w:val="32"/>
          <w:lang w:val="en-US" w:eastAsia="zh-CN"/>
        </w:rPr>
        <w:t>北京维康慈善基金会</w:t>
      </w:r>
    </w:p>
    <w:p w14:paraId="6E31E2A8">
      <w:pPr>
        <w:spacing w:before="360" w:line="222" w:lineRule="auto"/>
        <w:jc w:val="center"/>
        <w:rPr>
          <w:rFonts w:hint="default" w:ascii="黑体" w:hAnsi="黑体" w:eastAsia="黑体" w:cs="黑体"/>
          <w:b/>
          <w:bCs/>
          <w:sz w:val="32"/>
          <w:szCs w:val="32"/>
          <w:lang w:val="en-US"/>
        </w:rPr>
      </w:pPr>
      <w:r>
        <w:rPr>
          <w:rFonts w:hint="eastAsia" w:ascii="黑体" w:hAnsi="黑体" w:eastAsia="黑体" w:cs="黑体"/>
          <w:b/>
          <w:bCs/>
          <w:spacing w:val="-1"/>
          <w:sz w:val="32"/>
          <w:szCs w:val="32"/>
          <w:lang w:val="en-US" w:eastAsia="zh-CN"/>
        </w:rPr>
        <w:t>关联交易管理制度</w:t>
      </w:r>
    </w:p>
    <w:p w14:paraId="1660199D">
      <w:pPr>
        <w:spacing w:line="329" w:lineRule="auto"/>
        <w:jc w:val="center"/>
        <w:rPr>
          <w:rFonts w:hint="eastAsia" w:ascii="宋体" w:hAnsi="宋体" w:eastAsia="宋体" w:cs="宋体"/>
          <w:sz w:val="22"/>
          <w:szCs w:val="22"/>
        </w:rPr>
      </w:pPr>
    </w:p>
    <w:p w14:paraId="547A1A4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7" w:line="560" w:lineRule="exact"/>
        <w:ind w:left="3863"/>
        <w:textAlignment w:val="baseline"/>
        <w:rPr>
          <w:rFonts w:hint="eastAsia" w:ascii="仿宋" w:hAnsi="仿宋" w:eastAsia="仿宋" w:cs="仿宋"/>
          <w:b/>
          <w:bCs/>
          <w:spacing w:val="-4"/>
          <w:sz w:val="24"/>
          <w:szCs w:val="24"/>
        </w:rPr>
      </w:pPr>
      <w:r>
        <w:rPr>
          <w:rFonts w:hint="eastAsia" w:ascii="仿宋" w:hAnsi="仿宋" w:eastAsia="仿宋" w:cs="仿宋"/>
          <w:spacing w:val="1"/>
          <w:sz w:val="24"/>
          <w:szCs w:val="24"/>
        </w:rPr>
        <w:t xml:space="preserve"> </w:t>
      </w:r>
      <w:r>
        <w:rPr>
          <w:rFonts w:hint="eastAsia" w:ascii="仿宋" w:hAnsi="仿宋" w:eastAsia="仿宋" w:cs="仿宋"/>
          <w:b/>
          <w:bCs/>
          <w:spacing w:val="-4"/>
          <w:sz w:val="24"/>
          <w:szCs w:val="24"/>
        </w:rPr>
        <w:t>总则</w:t>
      </w:r>
    </w:p>
    <w:p w14:paraId="335FC0D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7" w:line="560" w:lineRule="exact"/>
        <w:ind w:firstLine="464" w:firstLineChars="200"/>
        <w:textAlignment w:val="baseline"/>
        <w:rPr>
          <w:rFonts w:hint="eastAsia" w:ascii="仿宋" w:hAnsi="仿宋" w:eastAsia="仿宋" w:cs="仿宋"/>
          <w:b w:val="0"/>
          <w:bCs w:val="0"/>
          <w:spacing w:val="-4"/>
          <w:sz w:val="24"/>
          <w:szCs w:val="24"/>
        </w:rPr>
      </w:pPr>
      <w:r>
        <w:rPr>
          <w:rFonts w:hint="eastAsia" w:ascii="仿宋" w:hAnsi="仿宋" w:eastAsia="仿宋" w:cs="仿宋"/>
          <w:b w:val="0"/>
          <w:bCs w:val="0"/>
          <w:spacing w:val="-4"/>
          <w:sz w:val="24"/>
          <w:szCs w:val="24"/>
        </w:rPr>
        <w:t>为了</w:t>
      </w:r>
      <w:r>
        <w:rPr>
          <w:rFonts w:hint="eastAsia" w:ascii="仿宋" w:hAnsi="仿宋" w:eastAsia="仿宋" w:cs="仿宋"/>
          <w:b w:val="0"/>
          <w:bCs w:val="0"/>
          <w:spacing w:val="-4"/>
          <w:sz w:val="24"/>
          <w:szCs w:val="24"/>
          <w:lang w:eastAsia="zh-CN"/>
        </w:rPr>
        <w:t>制度北京维康慈善基金会</w:t>
      </w:r>
      <w:r>
        <w:rPr>
          <w:rFonts w:hint="eastAsia" w:ascii="仿宋" w:hAnsi="仿宋" w:eastAsia="仿宋" w:cs="仿宋"/>
          <w:b w:val="0"/>
          <w:bCs w:val="0"/>
          <w:spacing w:val="-4"/>
          <w:sz w:val="24"/>
          <w:szCs w:val="24"/>
        </w:rPr>
        <w:t>（简称“基金会”）的关联交易，保证基金会关联交易的公允性，维护基金会的合法权益，保证基金会与关联人直接的交易符合公正、公平公开的原则，根据《基金会管理条例》和《民间非营利组织会计制度》等法律、规定，结合基金会工作实际，特制定本</w:t>
      </w:r>
      <w:r>
        <w:rPr>
          <w:rFonts w:hint="eastAsia" w:ascii="仿宋" w:hAnsi="仿宋" w:eastAsia="仿宋" w:cs="仿宋"/>
          <w:b w:val="0"/>
          <w:bCs w:val="0"/>
          <w:spacing w:val="-4"/>
          <w:sz w:val="24"/>
          <w:szCs w:val="24"/>
          <w:lang w:val="en-US" w:eastAsia="zh-CN"/>
        </w:rPr>
        <w:t>制度</w:t>
      </w:r>
      <w:r>
        <w:rPr>
          <w:rFonts w:hint="eastAsia" w:ascii="仿宋" w:hAnsi="仿宋" w:eastAsia="仿宋" w:cs="仿宋"/>
          <w:b w:val="0"/>
          <w:bCs w:val="0"/>
          <w:spacing w:val="-4"/>
          <w:sz w:val="24"/>
          <w:szCs w:val="24"/>
        </w:rPr>
        <w:t>。</w:t>
      </w:r>
    </w:p>
    <w:p w14:paraId="0B4DCA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3" w:line="560" w:lineRule="exact"/>
        <w:ind w:left="3"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lang w:eastAsia="zh-CN"/>
        </w:rPr>
        <w:t>基金会</w:t>
      </w:r>
      <w:r>
        <w:rPr>
          <w:rFonts w:hint="eastAsia" w:ascii="仿宋" w:hAnsi="仿宋" w:eastAsia="仿宋" w:cs="仿宋"/>
          <w:b w:val="0"/>
          <w:bCs w:val="0"/>
          <w:spacing w:val="8"/>
          <w:position w:val="17"/>
          <w:sz w:val="24"/>
          <w:szCs w:val="24"/>
        </w:rPr>
        <w:t>在确认和处理有关关联人之间关联关系与关联交易时，应遵循并贯彻以下原则：</w:t>
      </w:r>
    </w:p>
    <w:p w14:paraId="453D4D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60" w:lineRule="exact"/>
        <w:ind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rPr>
        <w:t>（一）尽量避免或减少与关联人之间的关联交易；</w:t>
      </w:r>
    </w:p>
    <w:p w14:paraId="41A4E02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60" w:lineRule="exact"/>
        <w:ind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rPr>
        <w:t>（二）确定关联交易价格时，应遵循“公平、公正、公开以及等价有偿”的原则，并以书面协议方式予以确定；</w:t>
      </w:r>
    </w:p>
    <w:p w14:paraId="5B59538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60" w:lineRule="exact"/>
        <w:ind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rPr>
        <w:t>（三）对于必须发生的关联交易，应切实履行信息披露的有关规定；</w:t>
      </w:r>
    </w:p>
    <w:p w14:paraId="3B3F16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60" w:lineRule="exact"/>
        <w:ind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rPr>
        <w:t>（四）关联理事回避表决的原则；</w:t>
      </w:r>
    </w:p>
    <w:p w14:paraId="0934AC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60" w:lineRule="exact"/>
        <w:ind w:firstLine="512" w:firstLineChars="200"/>
        <w:textAlignment w:val="baseline"/>
        <w:rPr>
          <w:rFonts w:hint="eastAsia" w:ascii="仿宋" w:hAnsi="仿宋" w:eastAsia="仿宋" w:cs="仿宋"/>
          <w:b w:val="0"/>
          <w:bCs w:val="0"/>
          <w:spacing w:val="8"/>
          <w:position w:val="17"/>
          <w:sz w:val="24"/>
          <w:szCs w:val="24"/>
        </w:rPr>
      </w:pPr>
      <w:r>
        <w:rPr>
          <w:rFonts w:hint="eastAsia" w:ascii="仿宋" w:hAnsi="仿宋" w:eastAsia="仿宋" w:cs="仿宋"/>
          <w:b w:val="0"/>
          <w:bCs w:val="0"/>
          <w:spacing w:val="8"/>
          <w:position w:val="17"/>
          <w:sz w:val="24"/>
          <w:szCs w:val="24"/>
        </w:rPr>
        <w:t>（五）必要时聘请独立财务顾问或专业评估机构发表意见和报告的原则。</w:t>
      </w:r>
    </w:p>
    <w:p w14:paraId="7560B4B4">
      <w:pPr>
        <w:keepNext w:val="0"/>
        <w:keepLines w:val="0"/>
        <w:pageBreakBefore w:val="0"/>
        <w:widowControl/>
        <w:kinsoku w:val="0"/>
        <w:wordWrap/>
        <w:overflowPunct/>
        <w:topLinePunct w:val="0"/>
        <w:autoSpaceDE w:val="0"/>
        <w:autoSpaceDN w:val="0"/>
        <w:bidi w:val="0"/>
        <w:adjustRightInd w:val="0"/>
        <w:snapToGrid w:val="0"/>
        <w:spacing w:before="186" w:line="560" w:lineRule="exact"/>
        <w:ind w:left="3" w:firstLine="506" w:firstLineChars="200"/>
        <w:textAlignment w:val="baseline"/>
        <w:rPr>
          <w:rFonts w:hint="eastAsia" w:ascii="仿宋" w:hAnsi="仿宋" w:eastAsia="仿宋" w:cs="仿宋"/>
          <w:b w:val="0"/>
          <w:bCs w:val="0"/>
          <w:spacing w:val="6"/>
          <w:position w:val="17"/>
          <w:sz w:val="24"/>
          <w:szCs w:val="24"/>
          <w:u w:val="none" w:color="auto"/>
        </w:rPr>
      </w:pPr>
      <w:r>
        <w:rPr>
          <w:rFonts w:hint="eastAsia" w:ascii="仿宋" w:hAnsi="仿宋" w:eastAsia="仿宋" w:cs="仿宋"/>
          <w:b/>
          <w:bCs/>
          <w:spacing w:val="6"/>
          <w:position w:val="17"/>
          <w:sz w:val="24"/>
          <w:szCs w:val="24"/>
          <w:u w:val="none" w:color="auto"/>
        </w:rPr>
        <w:t xml:space="preserve">第二条 </w:t>
      </w:r>
      <w:r>
        <w:rPr>
          <w:rFonts w:hint="eastAsia" w:ascii="仿宋" w:hAnsi="仿宋" w:eastAsia="仿宋" w:cs="仿宋"/>
          <w:b w:val="0"/>
          <w:bCs w:val="0"/>
          <w:spacing w:val="6"/>
          <w:position w:val="17"/>
          <w:sz w:val="24"/>
          <w:szCs w:val="24"/>
          <w:u w:val="none" w:color="auto"/>
        </w:rPr>
        <w:t>理事、监事、高级管理人员不得利用其关联关系损害</w:t>
      </w:r>
      <w:r>
        <w:rPr>
          <w:rFonts w:hint="eastAsia" w:ascii="仿宋" w:hAnsi="仿宋" w:eastAsia="仿宋" w:cs="仿宋"/>
          <w:b w:val="0"/>
          <w:bCs w:val="0"/>
          <w:spacing w:val="6"/>
          <w:position w:val="17"/>
          <w:sz w:val="24"/>
          <w:szCs w:val="24"/>
          <w:u w:val="none" w:color="auto"/>
          <w:lang w:eastAsia="zh-CN"/>
        </w:rPr>
        <w:t>基金会</w:t>
      </w:r>
      <w:r>
        <w:rPr>
          <w:rFonts w:hint="eastAsia" w:ascii="仿宋" w:hAnsi="仿宋" w:eastAsia="仿宋" w:cs="仿宋"/>
          <w:b w:val="0"/>
          <w:bCs w:val="0"/>
          <w:spacing w:val="6"/>
          <w:position w:val="17"/>
          <w:sz w:val="24"/>
          <w:szCs w:val="24"/>
          <w:u w:val="none" w:color="auto"/>
        </w:rPr>
        <w:t>利益。违反规定的，给</w:t>
      </w:r>
      <w:r>
        <w:rPr>
          <w:rFonts w:hint="eastAsia" w:ascii="仿宋" w:hAnsi="仿宋" w:eastAsia="仿宋" w:cs="仿宋"/>
          <w:b w:val="0"/>
          <w:bCs w:val="0"/>
          <w:spacing w:val="6"/>
          <w:position w:val="17"/>
          <w:sz w:val="24"/>
          <w:szCs w:val="24"/>
          <w:u w:val="none" w:color="auto"/>
          <w:lang w:eastAsia="zh-CN"/>
        </w:rPr>
        <w:t>基金会</w:t>
      </w:r>
      <w:r>
        <w:rPr>
          <w:rFonts w:hint="eastAsia" w:ascii="仿宋" w:hAnsi="仿宋" w:eastAsia="仿宋" w:cs="仿宋"/>
          <w:b w:val="0"/>
          <w:bCs w:val="0"/>
          <w:spacing w:val="6"/>
          <w:position w:val="17"/>
          <w:sz w:val="24"/>
          <w:szCs w:val="24"/>
          <w:u w:val="none" w:color="auto"/>
        </w:rPr>
        <w:t>造成损失的，应当承担赔偿责任。</w:t>
      </w:r>
    </w:p>
    <w:p w14:paraId="3C8076AC">
      <w:pPr>
        <w:keepNext w:val="0"/>
        <w:keepLines w:val="0"/>
        <w:pageBreakBefore w:val="0"/>
        <w:widowControl/>
        <w:kinsoku w:val="0"/>
        <w:wordWrap/>
        <w:overflowPunct/>
        <w:topLinePunct w:val="0"/>
        <w:autoSpaceDE w:val="0"/>
        <w:autoSpaceDN w:val="0"/>
        <w:bidi w:val="0"/>
        <w:adjustRightInd w:val="0"/>
        <w:snapToGrid w:val="0"/>
        <w:spacing w:before="186" w:line="560" w:lineRule="exact"/>
        <w:ind w:left="3" w:firstLine="506" w:firstLineChars="200"/>
        <w:jc w:val="center"/>
        <w:textAlignment w:val="baseline"/>
        <w:rPr>
          <w:rFonts w:hint="eastAsia" w:ascii="仿宋" w:hAnsi="仿宋" w:eastAsia="仿宋" w:cs="仿宋"/>
          <w:b w:val="0"/>
          <w:bCs w:val="0"/>
          <w:spacing w:val="6"/>
          <w:position w:val="17"/>
          <w:sz w:val="24"/>
          <w:szCs w:val="24"/>
          <w:u w:val="none" w:color="auto"/>
        </w:rPr>
      </w:pPr>
      <w:r>
        <w:rPr>
          <w:rFonts w:hint="eastAsia" w:ascii="仿宋" w:hAnsi="仿宋" w:eastAsia="仿宋" w:cs="仿宋"/>
          <w:b/>
          <w:bCs/>
          <w:spacing w:val="6"/>
          <w:position w:val="17"/>
          <w:sz w:val="24"/>
          <w:szCs w:val="24"/>
          <w:u w:val="none" w:color="auto"/>
        </w:rPr>
        <w:t>第二章 关联方和关联交易</w:t>
      </w:r>
    </w:p>
    <w:p w14:paraId="3435E650">
      <w:pPr>
        <w:keepNext w:val="0"/>
        <w:keepLines w:val="0"/>
        <w:pageBreakBefore w:val="0"/>
        <w:widowControl/>
        <w:kinsoku w:val="0"/>
        <w:wordWrap/>
        <w:overflowPunct/>
        <w:topLinePunct w:val="0"/>
        <w:autoSpaceDE w:val="0"/>
        <w:autoSpaceDN w:val="0"/>
        <w:bidi w:val="0"/>
        <w:adjustRightInd w:val="0"/>
        <w:snapToGrid w:val="0"/>
        <w:spacing w:before="206" w:line="560" w:lineRule="exact"/>
        <w:ind w:firstLine="526"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b/>
          <w:bCs/>
          <w:spacing w:val="11"/>
          <w:sz w:val="24"/>
          <w:szCs w:val="24"/>
          <w:u w:val="none" w:color="auto"/>
        </w:rPr>
        <w:t>第三条</w:t>
      </w:r>
      <w:r>
        <w:rPr>
          <w:rFonts w:hint="eastAsia" w:ascii="仿宋" w:hAnsi="仿宋" w:eastAsia="仿宋" w:cs="仿宋"/>
          <w:spacing w:val="11"/>
          <w:sz w:val="24"/>
          <w:szCs w:val="24"/>
          <w:u w:val="none" w:color="auto"/>
        </w:rPr>
        <w:t> 关联方包括：发起人、主要捐赠人、</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理事主要来源单位，</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投资的被投资方，其他与</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存在控制、共同控制或重大影响关系的个人或组织。</w:t>
      </w:r>
    </w:p>
    <w:p w14:paraId="45F4EA9A">
      <w:pPr>
        <w:keepNext w:val="0"/>
        <w:keepLines w:val="0"/>
        <w:pageBreakBefore w:val="0"/>
        <w:widowControl/>
        <w:kinsoku w:val="0"/>
        <w:wordWrap/>
        <w:overflowPunct/>
        <w:topLinePunct w:val="0"/>
        <w:autoSpaceDE w:val="0"/>
        <w:autoSpaceDN w:val="0"/>
        <w:bidi w:val="0"/>
        <w:adjustRightInd w:val="0"/>
        <w:snapToGrid w:val="0"/>
        <w:spacing w:before="206" w:line="560" w:lineRule="exact"/>
        <w:ind w:firstLine="526"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b/>
          <w:bCs/>
          <w:spacing w:val="11"/>
          <w:sz w:val="24"/>
          <w:szCs w:val="24"/>
          <w:u w:val="none" w:color="auto"/>
        </w:rPr>
        <w:t>第四条</w:t>
      </w:r>
      <w:r>
        <w:rPr>
          <w:rFonts w:hint="eastAsia" w:ascii="仿宋" w:hAnsi="仿宋" w:eastAsia="仿宋" w:cs="仿宋"/>
          <w:spacing w:val="11"/>
          <w:sz w:val="24"/>
          <w:szCs w:val="24"/>
          <w:u w:val="none" w:color="auto"/>
        </w:rPr>
        <w:t xml:space="preserve"> 关联交易是指</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与关联人之间发生的转移资源或义务的事项。不论是否收受价款，</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与关联人之间存在以下交易或往来的，即视为关联人与</w:t>
      </w:r>
      <w:r>
        <w:rPr>
          <w:rFonts w:hint="eastAsia" w:ascii="仿宋" w:hAnsi="仿宋" w:eastAsia="仿宋" w:cs="仿宋"/>
          <w:spacing w:val="11"/>
          <w:sz w:val="24"/>
          <w:szCs w:val="24"/>
          <w:u w:val="none" w:color="auto"/>
          <w:lang w:eastAsia="zh-CN"/>
        </w:rPr>
        <w:t>基金会</w:t>
      </w:r>
      <w:r>
        <w:rPr>
          <w:rFonts w:hint="eastAsia" w:ascii="仿宋" w:hAnsi="仿宋" w:eastAsia="仿宋" w:cs="仿宋"/>
          <w:spacing w:val="11"/>
          <w:sz w:val="24"/>
          <w:szCs w:val="24"/>
          <w:u w:val="none" w:color="auto"/>
        </w:rPr>
        <w:t>之间的关联交易：</w:t>
      </w:r>
    </w:p>
    <w:p w14:paraId="7E5C182C">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（一）购买或出售资产；</w:t>
      </w:r>
    </w:p>
    <w:p w14:paraId="3C43C96F">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（二）对外投资；（含委托理财、有价证券）</w:t>
      </w:r>
    </w:p>
    <w:p w14:paraId="2958B77B">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（三）提供或接受劳务；</w:t>
      </w:r>
    </w:p>
    <w:p w14:paraId="62D51B79">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（四）提供担保；</w:t>
      </w:r>
    </w:p>
    <w:p w14:paraId="1BD7F1F7">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（五）管理方面的合同；（含委托或者受托管理资产）</w:t>
      </w:r>
    </w:p>
    <w:p w14:paraId="22989A89">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（六）转让或者受让研究与开发项目；</w:t>
      </w:r>
    </w:p>
    <w:p w14:paraId="5C8206D4">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（七）许可协议；</w:t>
      </w:r>
    </w:p>
    <w:p w14:paraId="1E907FC0">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（八）非货币性交易；</w:t>
      </w:r>
    </w:p>
    <w:p w14:paraId="7DF494B8">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（九）关联双方共同投资；</w:t>
      </w:r>
    </w:p>
    <w:p w14:paraId="4387F4BF">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3" w:firstLine="444" w:firstLineChars="200"/>
        <w:textAlignment w:val="baseline"/>
        <w:rPr>
          <w:rFonts w:hint="eastAsia" w:ascii="仿宋" w:hAnsi="仿宋" w:eastAsia="仿宋" w:cs="仿宋"/>
          <w:b w:val="0"/>
          <w:bCs w:val="0"/>
          <w:spacing w:val="-9"/>
          <w:sz w:val="24"/>
          <w:szCs w:val="24"/>
          <w:u w:val="none" w:color="auto"/>
        </w:rPr>
      </w:pPr>
      <w:r>
        <w:rPr>
          <w:rFonts w:hint="eastAsia" w:ascii="仿宋" w:hAnsi="仿宋" w:eastAsia="仿宋" w:cs="仿宋"/>
          <w:b w:val="0"/>
          <w:bCs w:val="0"/>
          <w:spacing w:val="-9"/>
          <w:sz w:val="24"/>
          <w:szCs w:val="24"/>
          <w:u w:val="none" w:color="auto"/>
        </w:rPr>
        <w:t>（十）法律、法规认定的属于关联交易的其他事项。</w:t>
      </w:r>
    </w:p>
    <w:p w14:paraId="3A242D5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446"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b/>
          <w:bCs/>
          <w:spacing w:val="-9"/>
          <w:sz w:val="24"/>
          <w:szCs w:val="24"/>
          <w:u w:val="none" w:color="auto"/>
        </w:rPr>
        <w:t xml:space="preserve">第五条 </w:t>
      </w:r>
      <w:r>
        <w:rPr>
          <w:rFonts w:hint="eastAsia" w:ascii="仿宋" w:hAnsi="仿宋" w:eastAsia="仿宋" w:cs="仿宋"/>
          <w:spacing w:val="11"/>
          <w:sz w:val="24"/>
          <w:szCs w:val="24"/>
          <w:u w:val="none" w:color="auto"/>
        </w:rPr>
        <w:t xml:space="preserve"> 禁止的关联交易行为包括：</w:t>
      </w:r>
    </w:p>
    <w:p w14:paraId="5E2A25A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24"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spacing w:val="11"/>
          <w:sz w:val="24"/>
          <w:szCs w:val="24"/>
          <w:u w:val="none" w:color="auto"/>
        </w:rPr>
        <w:t>（一）关联方指定其利害关系人为捐赠的受益人；</w:t>
      </w:r>
    </w:p>
    <w:p w14:paraId="035650B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24"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spacing w:val="11"/>
          <w:sz w:val="24"/>
          <w:szCs w:val="24"/>
          <w:u w:val="none" w:color="auto"/>
        </w:rPr>
        <w:t>（二）关联方、基金会指定基金会的其他关联方作为捐赠的受益人；</w:t>
      </w:r>
    </w:p>
    <w:p w14:paraId="530A0E11">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24"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spacing w:val="11"/>
          <w:sz w:val="24"/>
          <w:szCs w:val="24"/>
          <w:u w:val="none" w:color="auto"/>
        </w:rPr>
        <w:t>（三）基金会指定本基金会管理人员的利害关系人作为受益人；</w:t>
      </w:r>
    </w:p>
    <w:p w14:paraId="4ABED29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24"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spacing w:val="11"/>
          <w:sz w:val="24"/>
          <w:szCs w:val="24"/>
          <w:u w:val="none" w:color="auto"/>
        </w:rPr>
        <w:t>（四）基金会向关联方提供担保；</w:t>
      </w:r>
    </w:p>
    <w:p w14:paraId="1180D3A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24" w:firstLineChars="200"/>
        <w:textAlignment w:val="baseline"/>
        <w:rPr>
          <w:rFonts w:hint="eastAsia" w:ascii="仿宋" w:hAnsi="仿宋" w:eastAsia="仿宋" w:cs="仿宋"/>
          <w:spacing w:val="11"/>
          <w:sz w:val="24"/>
          <w:szCs w:val="24"/>
          <w:u w:val="none" w:color="auto"/>
        </w:rPr>
      </w:pPr>
      <w:r>
        <w:rPr>
          <w:rFonts w:hint="eastAsia" w:ascii="仿宋" w:hAnsi="仿宋" w:eastAsia="仿宋" w:cs="仿宋"/>
          <w:spacing w:val="11"/>
          <w:sz w:val="24"/>
          <w:szCs w:val="24"/>
          <w:u w:val="none" w:color="auto"/>
        </w:rPr>
        <w:t>（五）基金会的负责人与员工在基金会所投资的企业兼职领取报酬。</w:t>
      </w:r>
    </w:p>
    <w:p w14:paraId="771EF246">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450" w:firstLineChars="200"/>
        <w:jc w:val="center"/>
        <w:textAlignment w:val="baseline"/>
        <w:rPr>
          <w:rFonts w:hint="eastAsia" w:ascii="仿宋" w:hAnsi="仿宋" w:eastAsia="仿宋" w:cs="仿宋"/>
          <w:sz w:val="24"/>
          <w:szCs w:val="24"/>
        </w:rPr>
      </w:pPr>
      <w:r>
        <w:rPr>
          <w:rFonts w:hint="eastAsia" w:ascii="仿宋" w:hAnsi="仿宋" w:eastAsia="仿宋" w:cs="仿宋"/>
          <w:b/>
          <w:bCs/>
          <w:spacing w:val="-8"/>
          <w:sz w:val="24"/>
          <w:szCs w:val="24"/>
        </w:rPr>
        <w:t>第</w:t>
      </w:r>
      <w:r>
        <w:rPr>
          <w:rFonts w:hint="eastAsia" w:ascii="仿宋" w:hAnsi="仿宋" w:eastAsia="仿宋" w:cs="仿宋"/>
          <w:b/>
          <w:bCs/>
          <w:spacing w:val="-8"/>
          <w:sz w:val="24"/>
          <w:szCs w:val="24"/>
          <w:lang w:val="en-US" w:eastAsia="zh-CN"/>
        </w:rPr>
        <w:t>三</w:t>
      </w:r>
      <w:r>
        <w:rPr>
          <w:rFonts w:hint="eastAsia" w:ascii="仿宋" w:hAnsi="仿宋" w:eastAsia="仿宋" w:cs="仿宋"/>
          <w:b/>
          <w:bCs/>
          <w:spacing w:val="-8"/>
          <w:sz w:val="24"/>
          <w:szCs w:val="24"/>
        </w:rPr>
        <w:t>章</w:t>
      </w:r>
      <w:r>
        <w:rPr>
          <w:rFonts w:hint="eastAsia" w:ascii="仿宋" w:hAnsi="仿宋" w:eastAsia="仿宋" w:cs="仿宋"/>
          <w:b/>
          <w:bCs/>
          <w:spacing w:val="14"/>
          <w:sz w:val="24"/>
          <w:szCs w:val="24"/>
        </w:rPr>
        <w:t xml:space="preserve"> 关联交易的决策程序</w:t>
      </w:r>
    </w:p>
    <w:p w14:paraId="414595A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p>
    <w:p w14:paraId="6D0423F6">
      <w:pPr>
        <w:keepNext w:val="0"/>
        <w:keepLines w:val="0"/>
        <w:pageBreakBefore w:val="0"/>
        <w:widowControl/>
        <w:kinsoku w:val="0"/>
        <w:wordWrap/>
        <w:overflowPunct/>
        <w:topLinePunct w:val="0"/>
        <w:autoSpaceDE w:val="0"/>
        <w:autoSpaceDN w:val="0"/>
        <w:bidi w:val="0"/>
        <w:adjustRightInd w:val="0"/>
        <w:snapToGrid w:val="0"/>
        <w:spacing w:before="72" w:line="560" w:lineRule="exact"/>
        <w:ind w:left="3" w:firstLine="514" w:firstLineChars="200"/>
        <w:textAlignment w:val="baseline"/>
        <w:rPr>
          <w:rFonts w:hint="eastAsia" w:ascii="仿宋" w:hAnsi="仿宋" w:eastAsia="仿宋" w:cs="仿宋"/>
          <w:sz w:val="24"/>
          <w:szCs w:val="24"/>
        </w:rPr>
      </w:pPr>
      <w:r>
        <w:rPr>
          <w:rFonts w:hint="eastAsia" w:ascii="仿宋" w:hAnsi="仿宋" w:eastAsia="仿宋" w:cs="仿宋"/>
          <w:b/>
          <w:bCs/>
          <w:spacing w:val="8"/>
          <w:sz w:val="24"/>
          <w:szCs w:val="24"/>
        </w:rPr>
        <w:t>第六条</w:t>
      </w:r>
      <w:r>
        <w:rPr>
          <w:rFonts w:hint="eastAsia" w:ascii="仿宋" w:hAnsi="仿宋" w:eastAsia="仿宋" w:cs="仿宋"/>
          <w:spacing w:val="5"/>
          <w:sz w:val="24"/>
          <w:szCs w:val="24"/>
        </w:rPr>
        <w:t xml:space="preserve">  关联交易的决策权力</w:t>
      </w:r>
    </w:p>
    <w:p w14:paraId="2290A013">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6" w:firstLineChars="200"/>
        <w:textAlignment w:val="baseline"/>
        <w:rPr>
          <w:rFonts w:hint="eastAsia" w:ascii="仿宋" w:hAnsi="仿宋" w:eastAsia="仿宋" w:cs="仿宋"/>
          <w:spacing w:val="14"/>
          <w:position w:val="17"/>
          <w:sz w:val="24"/>
          <w:szCs w:val="24"/>
        </w:rPr>
      </w:pPr>
      <w:r>
        <w:rPr>
          <w:rFonts w:hint="eastAsia" w:ascii="仿宋" w:hAnsi="仿宋" w:eastAsia="仿宋" w:cs="仿宋"/>
          <w:spacing w:val="14"/>
          <w:position w:val="17"/>
          <w:sz w:val="24"/>
          <w:szCs w:val="24"/>
        </w:rPr>
        <w:t>（一）单笔或累计标的超过800万元（不含800万元）以上的关联交易，必须提请理事会审议；</w:t>
      </w:r>
    </w:p>
    <w:p w14:paraId="18AD2DAD">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6" w:firstLineChars="200"/>
        <w:textAlignment w:val="baseline"/>
        <w:rPr>
          <w:rFonts w:hint="eastAsia" w:ascii="仿宋" w:hAnsi="仿宋" w:eastAsia="仿宋" w:cs="仿宋"/>
          <w:spacing w:val="14"/>
          <w:position w:val="17"/>
          <w:sz w:val="24"/>
          <w:szCs w:val="24"/>
        </w:rPr>
      </w:pPr>
      <w:r>
        <w:rPr>
          <w:rFonts w:hint="eastAsia" w:ascii="仿宋" w:hAnsi="仿宋" w:eastAsia="仿宋" w:cs="仿宋"/>
          <w:spacing w:val="14"/>
          <w:position w:val="17"/>
          <w:sz w:val="24"/>
          <w:szCs w:val="24"/>
        </w:rPr>
        <w:t>（二）单笔或累计标的在200万</w:t>
      </w:r>
      <w:r>
        <w:rPr>
          <w:rFonts w:hint="eastAsia" w:ascii="仿宋" w:hAnsi="仿宋" w:eastAsia="仿宋" w:cs="仿宋"/>
          <w:spacing w:val="14"/>
          <w:position w:val="17"/>
          <w:sz w:val="24"/>
          <w:szCs w:val="24"/>
          <w:lang w:val="en-US" w:eastAsia="zh-CN"/>
        </w:rPr>
        <w:t>元</w:t>
      </w:r>
      <w:r>
        <w:rPr>
          <w:rFonts w:hint="eastAsia" w:ascii="仿宋" w:hAnsi="仿宋" w:eastAsia="仿宋" w:cs="仿宋"/>
          <w:spacing w:val="14"/>
          <w:position w:val="17"/>
          <w:sz w:val="24"/>
          <w:szCs w:val="24"/>
        </w:rPr>
        <w:t>～800万元之间的关联交易，必须提交理事会备案，报理事长审批；</w:t>
      </w:r>
    </w:p>
    <w:p w14:paraId="51EB5794">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6" w:firstLineChars="200"/>
        <w:textAlignment w:val="baseline"/>
        <w:rPr>
          <w:rFonts w:hint="eastAsia" w:ascii="仿宋" w:hAnsi="仿宋" w:eastAsia="仿宋" w:cs="仿宋"/>
          <w:spacing w:val="14"/>
          <w:position w:val="17"/>
          <w:sz w:val="24"/>
          <w:szCs w:val="24"/>
        </w:rPr>
      </w:pPr>
      <w:r>
        <w:rPr>
          <w:rFonts w:hint="eastAsia" w:ascii="仿宋" w:hAnsi="仿宋" w:eastAsia="仿宋" w:cs="仿宋"/>
          <w:spacing w:val="14"/>
          <w:position w:val="17"/>
          <w:sz w:val="24"/>
          <w:szCs w:val="24"/>
        </w:rPr>
        <w:t>（三）单笔或累计标的在50万</w:t>
      </w:r>
      <w:r>
        <w:rPr>
          <w:rFonts w:hint="eastAsia" w:ascii="仿宋" w:hAnsi="仿宋" w:eastAsia="仿宋" w:cs="仿宋"/>
          <w:spacing w:val="14"/>
          <w:position w:val="17"/>
          <w:sz w:val="24"/>
          <w:szCs w:val="24"/>
          <w:lang w:val="en-US" w:eastAsia="zh-CN"/>
        </w:rPr>
        <w:t>元</w:t>
      </w:r>
      <w:r>
        <w:rPr>
          <w:rFonts w:hint="eastAsia" w:ascii="仿宋" w:hAnsi="仿宋" w:eastAsia="仿宋" w:cs="仿宋"/>
          <w:spacing w:val="14"/>
          <w:position w:val="17"/>
          <w:sz w:val="24"/>
          <w:szCs w:val="24"/>
        </w:rPr>
        <w:t>-200万元以下的关联交易，由秘书长办公会议决定并报理事会备案审批。</w:t>
      </w:r>
    </w:p>
    <w:p w14:paraId="2EA8F758">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8" w:firstLineChars="200"/>
        <w:textAlignment w:val="baseline"/>
        <w:rPr>
          <w:rFonts w:hint="eastAsia" w:ascii="仿宋" w:hAnsi="仿宋" w:eastAsia="仿宋" w:cs="仿宋"/>
          <w:spacing w:val="14"/>
          <w:position w:val="17"/>
          <w:sz w:val="24"/>
          <w:szCs w:val="24"/>
        </w:rPr>
      </w:pPr>
      <w:r>
        <w:rPr>
          <w:rFonts w:hint="eastAsia" w:ascii="仿宋" w:hAnsi="仿宋" w:eastAsia="仿宋" w:cs="仿宋"/>
          <w:b/>
          <w:bCs/>
          <w:spacing w:val="14"/>
          <w:position w:val="17"/>
          <w:sz w:val="24"/>
          <w:szCs w:val="24"/>
        </w:rPr>
        <w:t>第</w:t>
      </w:r>
      <w:r>
        <w:rPr>
          <w:rFonts w:hint="eastAsia" w:ascii="仿宋" w:hAnsi="仿宋" w:eastAsia="仿宋" w:cs="仿宋"/>
          <w:b/>
          <w:bCs/>
          <w:spacing w:val="14"/>
          <w:position w:val="17"/>
          <w:sz w:val="24"/>
          <w:szCs w:val="24"/>
          <w:lang w:val="en-US" w:eastAsia="zh-CN"/>
        </w:rPr>
        <w:t>七</w:t>
      </w:r>
      <w:r>
        <w:rPr>
          <w:rFonts w:hint="eastAsia" w:ascii="仿宋" w:hAnsi="仿宋" w:eastAsia="仿宋" w:cs="仿宋"/>
          <w:b/>
          <w:bCs/>
          <w:spacing w:val="14"/>
          <w:position w:val="17"/>
          <w:sz w:val="24"/>
          <w:szCs w:val="24"/>
        </w:rPr>
        <w:t>条</w:t>
      </w:r>
      <w:r>
        <w:rPr>
          <w:rFonts w:hint="eastAsia" w:ascii="仿宋" w:hAnsi="仿宋" w:eastAsia="仿宋" w:cs="仿宋"/>
          <w:spacing w:val="14"/>
          <w:position w:val="17"/>
          <w:sz w:val="24"/>
          <w:szCs w:val="24"/>
        </w:rPr>
        <w:t xml:space="preserve"> 关联交易中涉及的所有关联人，应就该项关联交易的必要性、合理性提供充足的证据，同时提供必要的市场标准。关联人只对关联交易的公允性进行陈述，对关联事项应及时回避表决。</w:t>
      </w:r>
    </w:p>
    <w:p w14:paraId="25D4FF89">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8" w:firstLineChars="200"/>
        <w:textAlignment w:val="baseline"/>
        <w:rPr>
          <w:rFonts w:hint="eastAsia" w:ascii="仿宋" w:hAnsi="仿宋" w:eastAsia="仿宋" w:cs="仿宋"/>
          <w:spacing w:val="14"/>
          <w:position w:val="17"/>
          <w:sz w:val="24"/>
          <w:szCs w:val="24"/>
        </w:rPr>
      </w:pPr>
      <w:r>
        <w:rPr>
          <w:rFonts w:hint="eastAsia" w:ascii="仿宋" w:hAnsi="仿宋" w:eastAsia="仿宋" w:cs="仿宋"/>
          <w:b/>
          <w:bCs/>
          <w:spacing w:val="14"/>
          <w:position w:val="17"/>
          <w:sz w:val="24"/>
          <w:szCs w:val="24"/>
        </w:rPr>
        <w:t>第</w:t>
      </w:r>
      <w:r>
        <w:rPr>
          <w:rFonts w:hint="eastAsia" w:ascii="仿宋" w:hAnsi="仿宋" w:eastAsia="仿宋" w:cs="仿宋"/>
          <w:b/>
          <w:bCs/>
          <w:spacing w:val="14"/>
          <w:position w:val="17"/>
          <w:sz w:val="24"/>
          <w:szCs w:val="24"/>
          <w:lang w:val="en-US" w:eastAsia="zh-CN"/>
        </w:rPr>
        <w:t>八</w:t>
      </w:r>
      <w:r>
        <w:rPr>
          <w:rFonts w:hint="eastAsia" w:ascii="仿宋" w:hAnsi="仿宋" w:eastAsia="仿宋" w:cs="仿宋"/>
          <w:b/>
          <w:bCs/>
          <w:spacing w:val="14"/>
          <w:position w:val="17"/>
          <w:sz w:val="24"/>
          <w:szCs w:val="24"/>
        </w:rPr>
        <w:t>条</w:t>
      </w:r>
      <w:r>
        <w:rPr>
          <w:rFonts w:hint="eastAsia" w:ascii="仿宋" w:hAnsi="仿宋" w:eastAsia="仿宋" w:cs="仿宋"/>
          <w:spacing w:val="14"/>
          <w:position w:val="17"/>
          <w:sz w:val="24"/>
          <w:szCs w:val="24"/>
        </w:rPr>
        <w:t xml:space="preserve"> 关联人与</w:t>
      </w:r>
      <w:r>
        <w:rPr>
          <w:rFonts w:hint="eastAsia" w:ascii="仿宋" w:hAnsi="仿宋" w:eastAsia="仿宋" w:cs="仿宋"/>
          <w:spacing w:val="14"/>
          <w:position w:val="17"/>
          <w:sz w:val="24"/>
          <w:szCs w:val="24"/>
          <w:lang w:eastAsia="zh-CN"/>
        </w:rPr>
        <w:t>基金会</w:t>
      </w:r>
      <w:r>
        <w:rPr>
          <w:rFonts w:hint="eastAsia" w:ascii="仿宋" w:hAnsi="仿宋" w:eastAsia="仿宋" w:cs="仿宋"/>
          <w:spacing w:val="14"/>
          <w:position w:val="17"/>
          <w:sz w:val="24"/>
          <w:szCs w:val="24"/>
        </w:rPr>
        <w:t>签署涉及关联交易的协议，应采取必要的回避措施。      </w:t>
      </w:r>
    </w:p>
    <w:p w14:paraId="69C3EE92">
      <w:pPr>
        <w:keepNext w:val="0"/>
        <w:keepLines w:val="0"/>
        <w:pageBreakBefore w:val="0"/>
        <w:widowControl/>
        <w:kinsoku w:val="0"/>
        <w:wordWrap/>
        <w:overflowPunct/>
        <w:topLinePunct w:val="0"/>
        <w:autoSpaceDE w:val="0"/>
        <w:autoSpaceDN w:val="0"/>
        <w:bidi w:val="0"/>
        <w:adjustRightInd w:val="0"/>
        <w:snapToGrid w:val="0"/>
        <w:spacing w:before="186" w:line="560" w:lineRule="exact"/>
        <w:ind w:firstLine="538" w:firstLineChars="200"/>
        <w:textAlignment w:val="baseline"/>
        <w:rPr>
          <w:rFonts w:hint="eastAsia" w:ascii="仿宋" w:hAnsi="仿宋" w:eastAsia="仿宋" w:cs="仿宋"/>
          <w:spacing w:val="14"/>
          <w:position w:val="17"/>
          <w:sz w:val="24"/>
          <w:szCs w:val="24"/>
        </w:rPr>
      </w:pPr>
      <w:r>
        <w:rPr>
          <w:rFonts w:hint="eastAsia" w:ascii="仿宋" w:hAnsi="仿宋" w:eastAsia="仿宋" w:cs="仿宋"/>
          <w:b/>
          <w:bCs/>
          <w:spacing w:val="14"/>
          <w:position w:val="17"/>
          <w:sz w:val="24"/>
          <w:szCs w:val="24"/>
        </w:rPr>
        <w:t>第</w:t>
      </w:r>
      <w:r>
        <w:rPr>
          <w:rFonts w:hint="eastAsia" w:ascii="仿宋" w:hAnsi="仿宋" w:eastAsia="仿宋" w:cs="仿宋"/>
          <w:b/>
          <w:bCs/>
          <w:spacing w:val="14"/>
          <w:position w:val="17"/>
          <w:sz w:val="24"/>
          <w:szCs w:val="24"/>
          <w:lang w:val="en-US" w:eastAsia="zh-CN"/>
        </w:rPr>
        <w:t>九</w:t>
      </w:r>
      <w:r>
        <w:rPr>
          <w:rFonts w:hint="eastAsia" w:ascii="仿宋" w:hAnsi="仿宋" w:eastAsia="仿宋" w:cs="仿宋"/>
          <w:b/>
          <w:bCs/>
          <w:spacing w:val="14"/>
          <w:position w:val="17"/>
          <w:sz w:val="24"/>
          <w:szCs w:val="24"/>
        </w:rPr>
        <w:t>条</w:t>
      </w:r>
      <w:r>
        <w:rPr>
          <w:rFonts w:hint="eastAsia" w:ascii="仿宋" w:hAnsi="仿宋" w:eastAsia="仿宋" w:cs="仿宋"/>
          <w:spacing w:val="14"/>
          <w:position w:val="17"/>
          <w:sz w:val="24"/>
          <w:szCs w:val="24"/>
        </w:rPr>
        <w:t xml:space="preserve"> 关联方不能以任何形式干预</w:t>
      </w:r>
      <w:r>
        <w:rPr>
          <w:rFonts w:hint="eastAsia" w:ascii="仿宋" w:hAnsi="仿宋" w:eastAsia="仿宋" w:cs="仿宋"/>
          <w:spacing w:val="14"/>
          <w:position w:val="17"/>
          <w:sz w:val="24"/>
          <w:szCs w:val="24"/>
          <w:lang w:eastAsia="zh-CN"/>
        </w:rPr>
        <w:t>基金会</w:t>
      </w:r>
      <w:r>
        <w:rPr>
          <w:rFonts w:hint="eastAsia" w:ascii="仿宋" w:hAnsi="仿宋" w:eastAsia="仿宋" w:cs="仿宋"/>
          <w:spacing w:val="14"/>
          <w:position w:val="17"/>
          <w:sz w:val="24"/>
          <w:szCs w:val="24"/>
        </w:rPr>
        <w:t>的决策。</w:t>
      </w:r>
    </w:p>
    <w:p w14:paraId="095FEC02">
      <w:pPr>
        <w:keepNext w:val="0"/>
        <w:keepLines w:val="0"/>
        <w:pageBreakBefore w:val="0"/>
        <w:widowControl/>
        <w:kinsoku w:val="0"/>
        <w:wordWrap/>
        <w:overflowPunct/>
        <w:topLinePunct w:val="0"/>
        <w:autoSpaceDE w:val="0"/>
        <w:autoSpaceDN w:val="0"/>
        <w:bidi w:val="0"/>
        <w:adjustRightInd w:val="0"/>
        <w:snapToGrid w:val="0"/>
        <w:spacing w:before="88" w:line="560" w:lineRule="exact"/>
        <w:ind w:left="2923" w:firstLine="450" w:firstLineChars="200"/>
        <w:textAlignment w:val="baseline"/>
        <w:rPr>
          <w:rFonts w:hint="eastAsia" w:ascii="仿宋" w:hAnsi="仿宋" w:eastAsia="仿宋" w:cs="仿宋"/>
          <w:sz w:val="24"/>
          <w:szCs w:val="24"/>
        </w:rPr>
      </w:pPr>
      <w:r>
        <w:rPr>
          <w:rFonts w:hint="eastAsia" w:ascii="仿宋" w:hAnsi="仿宋" w:eastAsia="仿宋" w:cs="仿宋"/>
          <w:b/>
          <w:bCs/>
          <w:spacing w:val="-8"/>
          <w:sz w:val="24"/>
          <w:szCs w:val="24"/>
        </w:rPr>
        <w:t>第</w:t>
      </w:r>
      <w:r>
        <w:rPr>
          <w:rFonts w:hint="eastAsia" w:ascii="仿宋" w:hAnsi="仿宋" w:eastAsia="仿宋" w:cs="仿宋"/>
          <w:b/>
          <w:bCs/>
          <w:spacing w:val="-8"/>
          <w:sz w:val="24"/>
          <w:szCs w:val="24"/>
          <w:lang w:val="en-US" w:eastAsia="zh-CN"/>
        </w:rPr>
        <w:t>四</w:t>
      </w:r>
      <w:r>
        <w:rPr>
          <w:rFonts w:hint="eastAsia" w:ascii="仿宋" w:hAnsi="仿宋" w:eastAsia="仿宋" w:cs="仿宋"/>
          <w:b/>
          <w:bCs/>
          <w:spacing w:val="-8"/>
          <w:sz w:val="24"/>
          <w:szCs w:val="24"/>
        </w:rPr>
        <w:t>章</w:t>
      </w:r>
      <w:r>
        <w:rPr>
          <w:rFonts w:hint="eastAsia" w:ascii="仿宋" w:hAnsi="仿宋" w:eastAsia="仿宋" w:cs="仿宋"/>
          <w:spacing w:val="14"/>
          <w:sz w:val="24"/>
          <w:szCs w:val="24"/>
        </w:rPr>
        <w:t xml:space="preserve"> </w:t>
      </w:r>
      <w:r>
        <w:rPr>
          <w:rFonts w:hint="eastAsia" w:ascii="仿宋" w:hAnsi="仿宋" w:eastAsia="仿宋" w:cs="仿宋"/>
          <w:b/>
          <w:bCs/>
          <w:spacing w:val="14"/>
          <w:sz w:val="24"/>
          <w:szCs w:val="24"/>
        </w:rPr>
        <w:t>关联交易定价</w:t>
      </w:r>
    </w:p>
    <w:p w14:paraId="6C31EF3C">
      <w:pPr>
        <w:keepNext w:val="0"/>
        <w:keepLines w:val="0"/>
        <w:pageBreakBefore w:val="0"/>
        <w:widowControl/>
        <w:kinsoku w:val="0"/>
        <w:wordWrap/>
        <w:overflowPunct/>
        <w:topLinePunct w:val="0"/>
        <w:autoSpaceDE w:val="0"/>
        <w:autoSpaceDN w:val="0"/>
        <w:bidi w:val="0"/>
        <w:adjustRightInd w:val="0"/>
        <w:snapToGrid w:val="0"/>
        <w:spacing w:before="184" w:line="560" w:lineRule="exact"/>
        <w:ind w:firstLine="482" w:firstLineChars="200"/>
        <w:textAlignment w:val="baseline"/>
        <w:rPr>
          <w:rFonts w:hint="eastAsia" w:ascii="仿宋" w:hAnsi="仿宋" w:eastAsia="仿宋" w:cs="仿宋"/>
          <w:position w:val="16"/>
          <w:sz w:val="24"/>
          <w:szCs w:val="24"/>
          <w:u w:val="none" w:color="auto"/>
        </w:rPr>
      </w:pPr>
      <w:r>
        <w:rPr>
          <w:rFonts w:hint="eastAsia" w:ascii="仿宋" w:hAnsi="仿宋" w:eastAsia="仿宋" w:cs="仿宋"/>
          <w:b/>
          <w:bCs/>
          <w:position w:val="16"/>
          <w:sz w:val="24"/>
          <w:szCs w:val="24"/>
          <w:u w:val="none" w:color="auto"/>
        </w:rPr>
        <w:t>第</w:t>
      </w:r>
      <w:r>
        <w:rPr>
          <w:rFonts w:hint="eastAsia" w:ascii="仿宋" w:hAnsi="仿宋" w:eastAsia="仿宋" w:cs="仿宋"/>
          <w:b/>
          <w:bCs/>
          <w:position w:val="16"/>
          <w:sz w:val="24"/>
          <w:szCs w:val="24"/>
          <w:u w:val="none" w:color="auto"/>
          <w:lang w:val="en-US" w:eastAsia="zh-CN"/>
        </w:rPr>
        <w:t>十</w:t>
      </w:r>
      <w:r>
        <w:rPr>
          <w:rFonts w:hint="eastAsia" w:ascii="仿宋" w:hAnsi="仿宋" w:eastAsia="仿宋" w:cs="仿宋"/>
          <w:b/>
          <w:bCs/>
          <w:position w:val="16"/>
          <w:sz w:val="24"/>
          <w:szCs w:val="24"/>
          <w:u w:val="none" w:color="auto"/>
        </w:rPr>
        <w:t>条</w:t>
      </w:r>
      <w:r>
        <w:rPr>
          <w:rFonts w:hint="eastAsia" w:ascii="仿宋" w:hAnsi="仿宋" w:eastAsia="仿宋" w:cs="仿宋"/>
          <w:position w:val="16"/>
          <w:sz w:val="24"/>
          <w:szCs w:val="24"/>
          <w:u w:val="none" w:color="auto"/>
        </w:rPr>
        <w:t xml:space="preserve"> </w:t>
      </w:r>
      <w:r>
        <w:rPr>
          <w:rFonts w:hint="eastAsia" w:ascii="仿宋" w:hAnsi="仿宋" w:eastAsia="仿宋" w:cs="仿宋"/>
          <w:position w:val="16"/>
          <w:sz w:val="24"/>
          <w:szCs w:val="24"/>
          <w:u w:val="none" w:color="auto"/>
          <w:lang w:eastAsia="zh-CN"/>
        </w:rPr>
        <w:t>基金会</w:t>
      </w:r>
      <w:r>
        <w:rPr>
          <w:rFonts w:hint="eastAsia" w:ascii="仿宋" w:hAnsi="仿宋" w:eastAsia="仿宋" w:cs="仿宋"/>
          <w:position w:val="16"/>
          <w:sz w:val="24"/>
          <w:szCs w:val="24"/>
          <w:u w:val="none" w:color="auto"/>
        </w:rPr>
        <w:t>进行关联交易应当签订书面协议，明确关联交易定价政策，关联交易执行过程中，协议中交易价格等主要条款发生重大变化的，</w:t>
      </w:r>
      <w:r>
        <w:rPr>
          <w:rFonts w:hint="eastAsia" w:ascii="仿宋" w:hAnsi="仿宋" w:eastAsia="仿宋" w:cs="仿宋"/>
          <w:position w:val="16"/>
          <w:sz w:val="24"/>
          <w:szCs w:val="24"/>
          <w:u w:val="none" w:color="auto"/>
          <w:lang w:eastAsia="zh-CN"/>
        </w:rPr>
        <w:t>基金会</w:t>
      </w:r>
      <w:r>
        <w:rPr>
          <w:rFonts w:hint="eastAsia" w:ascii="仿宋" w:hAnsi="仿宋" w:eastAsia="仿宋" w:cs="仿宋"/>
          <w:position w:val="16"/>
          <w:sz w:val="24"/>
          <w:szCs w:val="24"/>
          <w:u w:val="none" w:color="auto"/>
        </w:rPr>
        <w:t>应当按变更后的交易金额重新履行相应的审批程序。</w:t>
      </w:r>
    </w:p>
    <w:p w14:paraId="72361472">
      <w:pPr>
        <w:keepNext w:val="0"/>
        <w:keepLines w:val="0"/>
        <w:pageBreakBefore w:val="0"/>
        <w:widowControl/>
        <w:kinsoku w:val="0"/>
        <w:wordWrap/>
        <w:overflowPunct/>
        <w:topLinePunct w:val="0"/>
        <w:autoSpaceDE w:val="0"/>
        <w:autoSpaceDN w:val="0"/>
        <w:bidi w:val="0"/>
        <w:adjustRightInd w:val="0"/>
        <w:snapToGrid w:val="0"/>
        <w:spacing w:before="184" w:line="560" w:lineRule="exact"/>
        <w:ind w:firstLine="482" w:firstLineChars="200"/>
        <w:textAlignment w:val="baseline"/>
        <w:rPr>
          <w:rFonts w:hint="eastAsia" w:ascii="仿宋" w:hAnsi="仿宋" w:eastAsia="仿宋" w:cs="仿宋"/>
          <w:position w:val="16"/>
          <w:sz w:val="24"/>
          <w:szCs w:val="24"/>
          <w:u w:val="none" w:color="auto"/>
        </w:rPr>
      </w:pPr>
      <w:r>
        <w:rPr>
          <w:rFonts w:hint="eastAsia" w:ascii="仿宋" w:hAnsi="仿宋" w:eastAsia="仿宋" w:cs="仿宋"/>
          <w:b/>
          <w:bCs/>
          <w:position w:val="16"/>
          <w:sz w:val="24"/>
          <w:szCs w:val="24"/>
          <w:u w:val="none" w:color="auto"/>
        </w:rPr>
        <w:t>第十</w:t>
      </w:r>
      <w:r>
        <w:rPr>
          <w:rFonts w:hint="eastAsia" w:ascii="仿宋" w:hAnsi="仿宋" w:eastAsia="仿宋" w:cs="仿宋"/>
          <w:b/>
          <w:bCs/>
          <w:position w:val="16"/>
          <w:sz w:val="24"/>
          <w:szCs w:val="24"/>
          <w:u w:val="none" w:color="auto"/>
          <w:lang w:val="en-US" w:eastAsia="zh-CN"/>
        </w:rPr>
        <w:t>一</w:t>
      </w:r>
      <w:r>
        <w:rPr>
          <w:rFonts w:hint="eastAsia" w:ascii="仿宋" w:hAnsi="仿宋" w:eastAsia="仿宋" w:cs="仿宋"/>
          <w:b/>
          <w:bCs/>
          <w:position w:val="16"/>
          <w:sz w:val="24"/>
          <w:szCs w:val="24"/>
          <w:u w:val="none" w:color="auto"/>
        </w:rPr>
        <w:t>条</w:t>
      </w:r>
      <w:r>
        <w:rPr>
          <w:rFonts w:hint="eastAsia" w:ascii="仿宋" w:hAnsi="仿宋" w:eastAsia="仿宋" w:cs="仿宋"/>
          <w:position w:val="16"/>
          <w:sz w:val="24"/>
          <w:szCs w:val="24"/>
          <w:u w:val="none" w:color="auto"/>
        </w:rPr>
        <w:t> </w:t>
      </w:r>
      <w:r>
        <w:rPr>
          <w:rFonts w:hint="eastAsia" w:ascii="仿宋" w:hAnsi="仿宋" w:eastAsia="仿宋" w:cs="仿宋"/>
          <w:position w:val="16"/>
          <w:sz w:val="24"/>
          <w:szCs w:val="24"/>
          <w:u w:val="none" w:color="auto"/>
          <w:lang w:eastAsia="zh-CN"/>
        </w:rPr>
        <w:t>基金会</w:t>
      </w:r>
      <w:r>
        <w:rPr>
          <w:rFonts w:hint="eastAsia" w:ascii="仿宋" w:hAnsi="仿宋" w:eastAsia="仿宋" w:cs="仿宋"/>
          <w:position w:val="16"/>
          <w:sz w:val="24"/>
          <w:szCs w:val="24"/>
          <w:u w:val="none" w:color="auto"/>
        </w:rPr>
        <w:t>关联交易定价应当公允，参照下列原则执行：</w:t>
      </w:r>
    </w:p>
    <w:p w14:paraId="4C541360">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0" w:firstLineChars="200"/>
        <w:textAlignment w:val="baseline"/>
        <w:rPr>
          <w:rFonts w:hint="eastAsia" w:ascii="仿宋" w:hAnsi="仿宋" w:eastAsia="仿宋" w:cs="仿宋"/>
          <w:b w:val="0"/>
          <w:bCs w:val="0"/>
          <w:spacing w:val="-5"/>
          <w:position w:val="16"/>
          <w:sz w:val="24"/>
          <w:szCs w:val="24"/>
          <w:u w:val="none" w:color="auto"/>
        </w:rPr>
      </w:pPr>
      <w:r>
        <w:rPr>
          <w:rFonts w:hint="eastAsia" w:ascii="仿宋" w:hAnsi="仿宋" w:eastAsia="仿宋" w:cs="仿宋"/>
          <w:b w:val="0"/>
          <w:bCs w:val="0"/>
          <w:spacing w:val="-5"/>
          <w:position w:val="16"/>
          <w:sz w:val="24"/>
          <w:szCs w:val="24"/>
          <w:u w:val="none" w:color="auto"/>
        </w:rPr>
        <w:t>（一）交易事项实行政府定价的，可以直接适用该价格；</w:t>
      </w:r>
    </w:p>
    <w:p w14:paraId="5DACE165">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0" w:firstLineChars="200"/>
        <w:textAlignment w:val="baseline"/>
        <w:rPr>
          <w:rFonts w:hint="eastAsia" w:ascii="仿宋" w:hAnsi="仿宋" w:eastAsia="仿宋" w:cs="仿宋"/>
          <w:b w:val="0"/>
          <w:bCs w:val="0"/>
          <w:spacing w:val="-5"/>
          <w:position w:val="16"/>
          <w:sz w:val="24"/>
          <w:szCs w:val="24"/>
          <w:u w:val="none" w:color="auto"/>
        </w:rPr>
      </w:pPr>
      <w:r>
        <w:rPr>
          <w:rFonts w:hint="eastAsia" w:ascii="仿宋" w:hAnsi="仿宋" w:eastAsia="仿宋" w:cs="仿宋"/>
          <w:b w:val="0"/>
          <w:bCs w:val="0"/>
          <w:spacing w:val="-5"/>
          <w:position w:val="16"/>
          <w:sz w:val="24"/>
          <w:szCs w:val="24"/>
          <w:u w:val="none" w:color="auto"/>
        </w:rPr>
        <w:t>（二）交易事项实行政府指导价的，可以在政府指导价的范围内合理确定交易价；</w:t>
      </w:r>
    </w:p>
    <w:p w14:paraId="675BBB09">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0" w:firstLineChars="200"/>
        <w:textAlignment w:val="baseline"/>
        <w:rPr>
          <w:rFonts w:hint="eastAsia" w:ascii="仿宋" w:hAnsi="仿宋" w:eastAsia="仿宋" w:cs="仿宋"/>
          <w:b w:val="0"/>
          <w:bCs w:val="0"/>
          <w:spacing w:val="-5"/>
          <w:position w:val="16"/>
          <w:sz w:val="24"/>
          <w:szCs w:val="24"/>
          <w:u w:val="none" w:color="auto"/>
        </w:rPr>
      </w:pPr>
      <w:r>
        <w:rPr>
          <w:rFonts w:hint="eastAsia" w:ascii="仿宋" w:hAnsi="仿宋" w:eastAsia="仿宋" w:cs="仿宋"/>
          <w:b w:val="0"/>
          <w:bCs w:val="0"/>
          <w:spacing w:val="-5"/>
          <w:position w:val="16"/>
          <w:sz w:val="24"/>
          <w:szCs w:val="24"/>
          <w:u w:val="none" w:color="auto"/>
        </w:rPr>
        <w:t>（三）除政府定价或政府指导价外，交易事项有可比性的独立第三方的市场价格或收费标准的，可以优先参考该价格或标准确定交易价格；</w:t>
      </w:r>
    </w:p>
    <w:p w14:paraId="418E8758">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0" w:firstLineChars="200"/>
        <w:textAlignment w:val="baseline"/>
        <w:rPr>
          <w:rFonts w:hint="eastAsia" w:ascii="仿宋" w:hAnsi="仿宋" w:eastAsia="仿宋" w:cs="仿宋"/>
          <w:b w:val="0"/>
          <w:bCs w:val="0"/>
          <w:spacing w:val="-5"/>
          <w:position w:val="16"/>
          <w:sz w:val="24"/>
          <w:szCs w:val="24"/>
          <w:u w:val="none" w:color="auto"/>
        </w:rPr>
      </w:pPr>
      <w:r>
        <w:rPr>
          <w:rFonts w:hint="eastAsia" w:ascii="仿宋" w:hAnsi="仿宋" w:eastAsia="仿宋" w:cs="仿宋"/>
          <w:b w:val="0"/>
          <w:bCs w:val="0"/>
          <w:spacing w:val="-5"/>
          <w:position w:val="16"/>
          <w:sz w:val="24"/>
          <w:szCs w:val="24"/>
          <w:u w:val="none" w:color="auto"/>
        </w:rPr>
        <w:t>（四）关联事项无可比的独立第三方市场价格的，交易价格可以参考关联方与独立于关联方的第三方发生非关联交易价格确定；</w:t>
      </w:r>
    </w:p>
    <w:p w14:paraId="6EAFE448">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0" w:firstLineChars="200"/>
        <w:textAlignment w:val="baseline"/>
        <w:rPr>
          <w:rFonts w:hint="eastAsia" w:ascii="仿宋" w:hAnsi="仿宋" w:eastAsia="仿宋" w:cs="仿宋"/>
          <w:b w:val="0"/>
          <w:bCs w:val="0"/>
          <w:spacing w:val="-5"/>
          <w:position w:val="16"/>
          <w:sz w:val="24"/>
          <w:szCs w:val="24"/>
          <w:u w:val="none" w:color="auto"/>
        </w:rPr>
      </w:pPr>
      <w:r>
        <w:rPr>
          <w:rFonts w:hint="eastAsia" w:ascii="仿宋" w:hAnsi="仿宋" w:eastAsia="仿宋" w:cs="仿宋"/>
          <w:b w:val="0"/>
          <w:bCs w:val="0"/>
          <w:spacing w:val="-5"/>
          <w:position w:val="16"/>
          <w:sz w:val="24"/>
          <w:szCs w:val="24"/>
          <w:u w:val="none" w:color="auto"/>
        </w:rPr>
        <w:t>（五）既无独立第三方的市场价格，也无独立的非关联交易价格可供参考的，可以合理地构成价格作为定价的依据，构成价格为合理成本费用加合理的利润。</w:t>
      </w:r>
    </w:p>
    <w:p w14:paraId="55F9A4A8">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462" w:firstLineChars="200"/>
        <w:textAlignment w:val="baseline"/>
        <w:rPr>
          <w:rFonts w:hint="eastAsia" w:ascii="仿宋" w:hAnsi="仿宋" w:eastAsia="仿宋" w:cs="仿宋"/>
          <w:spacing w:val="2"/>
          <w:sz w:val="24"/>
          <w:szCs w:val="24"/>
        </w:rPr>
      </w:pPr>
      <w:r>
        <w:rPr>
          <w:rFonts w:hint="eastAsia" w:ascii="仿宋" w:hAnsi="仿宋" w:eastAsia="仿宋" w:cs="仿宋"/>
          <w:b/>
          <w:bCs/>
          <w:spacing w:val="-5"/>
          <w:position w:val="16"/>
          <w:sz w:val="24"/>
          <w:szCs w:val="24"/>
          <w:u w:val="none" w:color="auto"/>
        </w:rPr>
        <w:t>第十</w:t>
      </w:r>
      <w:r>
        <w:rPr>
          <w:rFonts w:hint="eastAsia" w:ascii="仿宋" w:hAnsi="仿宋" w:eastAsia="仿宋" w:cs="仿宋"/>
          <w:b/>
          <w:bCs/>
          <w:spacing w:val="-5"/>
          <w:position w:val="16"/>
          <w:sz w:val="24"/>
          <w:szCs w:val="24"/>
          <w:u w:val="none" w:color="auto"/>
          <w:lang w:val="en-US" w:eastAsia="zh-CN"/>
        </w:rPr>
        <w:t>二</w:t>
      </w:r>
      <w:r>
        <w:rPr>
          <w:rFonts w:hint="eastAsia" w:ascii="仿宋" w:hAnsi="仿宋" w:eastAsia="仿宋" w:cs="仿宋"/>
          <w:b/>
          <w:bCs/>
          <w:spacing w:val="-5"/>
          <w:position w:val="16"/>
          <w:sz w:val="24"/>
          <w:szCs w:val="24"/>
          <w:u w:val="none" w:color="auto"/>
        </w:rPr>
        <w:t xml:space="preserve">条 </w:t>
      </w:r>
      <w:r>
        <w:rPr>
          <w:rFonts w:hint="eastAsia" w:ascii="仿宋" w:hAnsi="仿宋" w:eastAsia="仿宋" w:cs="仿宋"/>
          <w:b w:val="0"/>
          <w:bCs w:val="0"/>
          <w:spacing w:val="-5"/>
          <w:position w:val="16"/>
          <w:sz w:val="24"/>
          <w:szCs w:val="24"/>
          <w:u w:val="none" w:color="auto"/>
          <w:lang w:eastAsia="zh-CN"/>
        </w:rPr>
        <w:t>基金会</w:t>
      </w:r>
      <w:r>
        <w:rPr>
          <w:rFonts w:hint="eastAsia" w:ascii="仿宋" w:hAnsi="仿宋" w:eastAsia="仿宋" w:cs="仿宋"/>
          <w:b w:val="0"/>
          <w:bCs w:val="0"/>
          <w:spacing w:val="-5"/>
          <w:position w:val="16"/>
          <w:sz w:val="24"/>
          <w:szCs w:val="24"/>
          <w:u w:val="none" w:color="auto"/>
        </w:rPr>
        <w:t>关联交易无法按上述原则定价的，应当披露该关联交易价格的确定原则及方法，并对该定价的公允性作出说明。</w:t>
      </w:r>
    </w:p>
    <w:p w14:paraId="5F1421C0">
      <w:pPr>
        <w:keepNext w:val="0"/>
        <w:keepLines w:val="0"/>
        <w:pageBreakBefore w:val="0"/>
        <w:widowControl/>
        <w:kinsoku w:val="0"/>
        <w:wordWrap/>
        <w:overflowPunct/>
        <w:topLinePunct w:val="0"/>
        <w:autoSpaceDE w:val="0"/>
        <w:autoSpaceDN w:val="0"/>
        <w:bidi w:val="0"/>
        <w:adjustRightInd w:val="0"/>
        <w:snapToGrid w:val="0"/>
        <w:spacing w:before="88" w:line="560" w:lineRule="exact"/>
        <w:ind w:left="2723" w:firstLine="498"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第五章 关联交易信息披露</w:t>
      </w:r>
    </w:p>
    <w:p w14:paraId="370FCE80">
      <w:pPr>
        <w:keepNext w:val="0"/>
        <w:keepLines w:val="0"/>
        <w:pageBreakBefore w:val="0"/>
        <w:widowControl/>
        <w:kinsoku w:val="0"/>
        <w:wordWrap/>
        <w:overflowPunct/>
        <w:topLinePunct w:val="0"/>
        <w:autoSpaceDE w:val="0"/>
        <w:autoSpaceDN w:val="0"/>
        <w:bidi w:val="0"/>
        <w:adjustRightInd w:val="0"/>
        <w:snapToGrid w:val="0"/>
        <w:spacing w:before="172" w:line="560" w:lineRule="exact"/>
        <w:ind w:right="69" w:rightChars="0" w:firstLine="490" w:firstLineChars="200"/>
        <w:jc w:val="both"/>
        <w:textAlignment w:val="baseline"/>
        <w:rPr>
          <w:rFonts w:hint="eastAsia" w:ascii="仿宋" w:hAnsi="仿宋" w:eastAsia="仿宋" w:cs="仿宋"/>
          <w:spacing w:val="2"/>
          <w:sz w:val="24"/>
          <w:szCs w:val="24"/>
        </w:rPr>
      </w:pPr>
      <w:r>
        <w:rPr>
          <w:rFonts w:hint="eastAsia" w:ascii="仿宋" w:hAnsi="仿宋" w:eastAsia="仿宋" w:cs="仿宋"/>
          <w:b/>
          <w:bCs/>
          <w:spacing w:val="2"/>
          <w:sz w:val="24"/>
          <w:szCs w:val="24"/>
        </w:rPr>
        <w:t>第十</w:t>
      </w:r>
      <w:r>
        <w:rPr>
          <w:rFonts w:hint="eastAsia" w:ascii="仿宋" w:hAnsi="仿宋" w:eastAsia="仿宋" w:cs="仿宋"/>
          <w:b/>
          <w:bCs/>
          <w:spacing w:val="2"/>
          <w:sz w:val="24"/>
          <w:szCs w:val="24"/>
          <w:lang w:val="en-US" w:eastAsia="zh-CN"/>
        </w:rPr>
        <w:t>三</w:t>
      </w:r>
      <w:r>
        <w:rPr>
          <w:rFonts w:hint="eastAsia" w:ascii="仿宋" w:hAnsi="仿宋" w:eastAsia="仿宋" w:cs="仿宋"/>
          <w:b/>
          <w:bCs/>
          <w:spacing w:val="2"/>
          <w:sz w:val="24"/>
          <w:szCs w:val="24"/>
        </w:rPr>
        <w:t>条</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lang w:eastAsia="zh-CN"/>
        </w:rPr>
        <w:t>基金会</w:t>
      </w:r>
      <w:r>
        <w:rPr>
          <w:rFonts w:hint="eastAsia" w:ascii="仿宋" w:hAnsi="仿宋" w:eastAsia="仿宋" w:cs="仿宋"/>
          <w:spacing w:val="2"/>
          <w:sz w:val="24"/>
          <w:szCs w:val="24"/>
        </w:rPr>
        <w:t>与关联自然人发生交易金额30万</w:t>
      </w:r>
      <w:r>
        <w:rPr>
          <w:rFonts w:hint="eastAsia" w:ascii="仿宋" w:hAnsi="仿宋" w:eastAsia="仿宋" w:cs="仿宋"/>
          <w:spacing w:val="2"/>
          <w:sz w:val="24"/>
          <w:szCs w:val="24"/>
          <w:lang w:val="en-US" w:eastAsia="zh-CN"/>
        </w:rPr>
        <w:t>元</w:t>
      </w:r>
      <w:r>
        <w:rPr>
          <w:rFonts w:hint="eastAsia" w:ascii="仿宋" w:hAnsi="仿宋" w:eastAsia="仿宋" w:cs="仿宋"/>
          <w:spacing w:val="2"/>
          <w:sz w:val="24"/>
          <w:szCs w:val="24"/>
        </w:rPr>
        <w:t>以上的，</w:t>
      </w:r>
      <w:r>
        <w:rPr>
          <w:rFonts w:hint="eastAsia" w:ascii="仿宋" w:hAnsi="仿宋" w:eastAsia="仿宋" w:cs="仿宋"/>
          <w:spacing w:val="2"/>
          <w:sz w:val="24"/>
          <w:szCs w:val="24"/>
          <w:lang w:eastAsia="zh-CN"/>
        </w:rPr>
        <w:t>基金会</w:t>
      </w:r>
      <w:r>
        <w:rPr>
          <w:rFonts w:hint="eastAsia" w:ascii="仿宋" w:hAnsi="仿宋" w:eastAsia="仿宋" w:cs="仿宋"/>
          <w:spacing w:val="2"/>
          <w:sz w:val="24"/>
          <w:szCs w:val="24"/>
        </w:rPr>
        <w:t>与关联法人发生的交易额300万</w:t>
      </w:r>
      <w:r>
        <w:rPr>
          <w:rFonts w:hint="eastAsia" w:ascii="仿宋" w:hAnsi="仿宋" w:eastAsia="仿宋" w:cs="仿宋"/>
          <w:spacing w:val="2"/>
          <w:sz w:val="24"/>
          <w:szCs w:val="24"/>
          <w:lang w:val="en-US" w:eastAsia="zh-CN"/>
        </w:rPr>
        <w:t>元</w:t>
      </w:r>
      <w:r>
        <w:rPr>
          <w:rFonts w:hint="eastAsia" w:ascii="仿宋" w:hAnsi="仿宋" w:eastAsia="仿宋" w:cs="仿宋"/>
          <w:spacing w:val="2"/>
          <w:sz w:val="24"/>
          <w:szCs w:val="24"/>
        </w:rPr>
        <w:t>以上的，且占</w:t>
      </w:r>
      <w:r>
        <w:rPr>
          <w:rFonts w:hint="eastAsia" w:ascii="仿宋" w:hAnsi="仿宋" w:eastAsia="仿宋" w:cs="仿宋"/>
          <w:spacing w:val="2"/>
          <w:sz w:val="24"/>
          <w:szCs w:val="24"/>
          <w:lang w:eastAsia="zh-CN"/>
        </w:rPr>
        <w:t>基金会</w:t>
      </w:r>
      <w:r>
        <w:rPr>
          <w:rFonts w:hint="eastAsia" w:ascii="仿宋" w:hAnsi="仿宋" w:eastAsia="仿宋" w:cs="仿宋"/>
          <w:spacing w:val="2"/>
          <w:sz w:val="24"/>
          <w:szCs w:val="24"/>
        </w:rPr>
        <w:t>最近一期经审计净资产绝对值0.5%以上的关联交易应当以临时公告形式披露。</w:t>
      </w:r>
    </w:p>
    <w:p w14:paraId="4D5D2F68">
      <w:pPr>
        <w:keepNext w:val="0"/>
        <w:keepLines w:val="0"/>
        <w:pageBreakBefore w:val="0"/>
        <w:widowControl/>
        <w:kinsoku w:val="0"/>
        <w:wordWrap/>
        <w:overflowPunct/>
        <w:topLinePunct w:val="0"/>
        <w:autoSpaceDE w:val="0"/>
        <w:autoSpaceDN w:val="0"/>
        <w:bidi w:val="0"/>
        <w:adjustRightInd w:val="0"/>
        <w:snapToGrid w:val="0"/>
        <w:spacing w:before="187" w:line="560" w:lineRule="exact"/>
        <w:ind w:left="3" w:firstLine="474" w:firstLineChars="200"/>
        <w:textAlignment w:val="baseline"/>
        <w:rPr>
          <w:rFonts w:hint="eastAsia" w:ascii="仿宋" w:hAnsi="仿宋" w:eastAsia="仿宋" w:cs="仿宋"/>
          <w:b w:val="0"/>
          <w:bCs w:val="0"/>
          <w:spacing w:val="-2"/>
          <w:sz w:val="24"/>
          <w:szCs w:val="24"/>
        </w:rPr>
      </w:pPr>
      <w:r>
        <w:rPr>
          <w:rFonts w:hint="eastAsia" w:ascii="仿宋" w:hAnsi="仿宋" w:eastAsia="仿宋" w:cs="仿宋"/>
          <w:b/>
          <w:bCs/>
          <w:spacing w:val="-2"/>
          <w:sz w:val="24"/>
          <w:szCs w:val="24"/>
        </w:rPr>
        <w:t>第十</w:t>
      </w:r>
      <w:r>
        <w:rPr>
          <w:rFonts w:hint="eastAsia" w:ascii="仿宋" w:hAnsi="仿宋" w:eastAsia="仿宋" w:cs="仿宋"/>
          <w:b/>
          <w:bCs/>
          <w:spacing w:val="-2"/>
          <w:sz w:val="24"/>
          <w:szCs w:val="24"/>
          <w:lang w:val="en-US" w:eastAsia="zh-CN"/>
        </w:rPr>
        <w:t>四</w:t>
      </w:r>
      <w:r>
        <w:rPr>
          <w:rFonts w:hint="eastAsia" w:ascii="仿宋" w:hAnsi="仿宋" w:eastAsia="仿宋" w:cs="仿宋"/>
          <w:b/>
          <w:bCs/>
          <w:spacing w:val="-2"/>
          <w:sz w:val="24"/>
          <w:szCs w:val="24"/>
        </w:rPr>
        <w:t>条 </w:t>
      </w:r>
      <w:r>
        <w:rPr>
          <w:rFonts w:hint="eastAsia" w:ascii="仿宋" w:hAnsi="仿宋" w:eastAsia="仿宋" w:cs="仿宋"/>
          <w:b w:val="0"/>
          <w:bCs w:val="0"/>
          <w:spacing w:val="-2"/>
          <w:sz w:val="24"/>
          <w:szCs w:val="24"/>
          <w:lang w:eastAsia="zh-CN"/>
        </w:rPr>
        <w:t>基金会</w:t>
      </w:r>
      <w:r>
        <w:rPr>
          <w:rFonts w:hint="eastAsia" w:ascii="仿宋" w:hAnsi="仿宋" w:eastAsia="仿宋" w:cs="仿宋"/>
          <w:b w:val="0"/>
          <w:bCs w:val="0"/>
          <w:spacing w:val="-2"/>
          <w:sz w:val="24"/>
          <w:szCs w:val="24"/>
        </w:rPr>
        <w:t>披露的关联方交易公告内容如下：</w:t>
      </w:r>
    </w:p>
    <w:p w14:paraId="04C56454">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firstLine="476" w:firstLineChars="200"/>
        <w:textAlignment w:val="baseline"/>
        <w:rPr>
          <w:rFonts w:hint="eastAsia" w:ascii="仿宋" w:hAnsi="仿宋" w:eastAsia="仿宋" w:cs="仿宋"/>
          <w:b w:val="0"/>
          <w:bCs w:val="0"/>
          <w:spacing w:val="-1"/>
          <w:position w:val="16"/>
          <w:sz w:val="24"/>
          <w:szCs w:val="24"/>
        </w:rPr>
      </w:pPr>
      <w:r>
        <w:rPr>
          <w:rFonts w:hint="eastAsia" w:ascii="仿宋" w:hAnsi="仿宋" w:eastAsia="仿宋" w:cs="仿宋"/>
          <w:b w:val="0"/>
          <w:bCs w:val="0"/>
          <w:spacing w:val="-1"/>
          <w:position w:val="16"/>
          <w:sz w:val="24"/>
          <w:szCs w:val="24"/>
        </w:rPr>
        <w:t>（一）关联交易概况；</w:t>
      </w:r>
    </w:p>
    <w:p w14:paraId="3FE192C1">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firstLine="476" w:firstLineChars="200"/>
        <w:textAlignment w:val="baseline"/>
        <w:rPr>
          <w:rFonts w:hint="eastAsia" w:ascii="仿宋" w:hAnsi="仿宋" w:eastAsia="仿宋" w:cs="仿宋"/>
          <w:b w:val="0"/>
          <w:bCs w:val="0"/>
          <w:spacing w:val="-1"/>
          <w:position w:val="16"/>
          <w:sz w:val="24"/>
          <w:szCs w:val="24"/>
        </w:rPr>
      </w:pPr>
      <w:r>
        <w:rPr>
          <w:rFonts w:hint="eastAsia" w:ascii="仿宋" w:hAnsi="仿宋" w:eastAsia="仿宋" w:cs="仿宋"/>
          <w:b w:val="0"/>
          <w:bCs w:val="0"/>
          <w:spacing w:val="-1"/>
          <w:position w:val="16"/>
          <w:sz w:val="24"/>
          <w:szCs w:val="24"/>
        </w:rPr>
        <w:t>（二）关联人介绍；</w:t>
      </w:r>
    </w:p>
    <w:p w14:paraId="621ED116">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firstLine="476" w:firstLineChars="200"/>
        <w:textAlignment w:val="baseline"/>
        <w:rPr>
          <w:rFonts w:hint="eastAsia" w:ascii="仿宋" w:hAnsi="仿宋" w:eastAsia="仿宋" w:cs="仿宋"/>
          <w:b w:val="0"/>
          <w:bCs w:val="0"/>
          <w:spacing w:val="-1"/>
          <w:position w:val="16"/>
          <w:sz w:val="24"/>
          <w:szCs w:val="24"/>
        </w:rPr>
      </w:pPr>
      <w:r>
        <w:rPr>
          <w:rFonts w:hint="eastAsia" w:ascii="仿宋" w:hAnsi="仿宋" w:eastAsia="仿宋" w:cs="仿宋"/>
          <w:b w:val="0"/>
          <w:bCs w:val="0"/>
          <w:spacing w:val="-1"/>
          <w:position w:val="16"/>
          <w:sz w:val="24"/>
          <w:szCs w:val="24"/>
        </w:rPr>
        <w:t>（三）关联交易的基本情况；</w:t>
      </w:r>
    </w:p>
    <w:p w14:paraId="7545101F">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firstLine="476" w:firstLineChars="200"/>
        <w:textAlignment w:val="baseline"/>
        <w:rPr>
          <w:rFonts w:hint="eastAsia" w:ascii="仿宋" w:hAnsi="仿宋" w:eastAsia="仿宋" w:cs="仿宋"/>
          <w:b w:val="0"/>
          <w:bCs w:val="0"/>
          <w:spacing w:val="-1"/>
          <w:position w:val="16"/>
          <w:sz w:val="24"/>
          <w:szCs w:val="24"/>
        </w:rPr>
      </w:pPr>
      <w:r>
        <w:rPr>
          <w:rFonts w:hint="eastAsia" w:ascii="仿宋" w:hAnsi="仿宋" w:eastAsia="仿宋" w:cs="仿宋"/>
          <w:b w:val="0"/>
          <w:bCs w:val="0"/>
          <w:spacing w:val="-1"/>
          <w:position w:val="16"/>
          <w:sz w:val="24"/>
          <w:szCs w:val="24"/>
        </w:rPr>
        <w:t>（四）关联交易的主要内容和定价政策；</w:t>
      </w:r>
    </w:p>
    <w:p w14:paraId="6B52A434">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firstLine="476" w:firstLineChars="200"/>
        <w:textAlignment w:val="baseline"/>
        <w:rPr>
          <w:rFonts w:hint="eastAsia" w:ascii="仿宋" w:hAnsi="仿宋" w:eastAsia="仿宋" w:cs="仿宋"/>
          <w:b w:val="0"/>
          <w:bCs w:val="0"/>
          <w:spacing w:val="-1"/>
          <w:position w:val="16"/>
          <w:sz w:val="24"/>
          <w:szCs w:val="24"/>
        </w:rPr>
      </w:pPr>
      <w:r>
        <w:rPr>
          <w:rFonts w:hint="eastAsia" w:ascii="仿宋" w:hAnsi="仿宋" w:eastAsia="仿宋" w:cs="仿宋"/>
          <w:b w:val="0"/>
          <w:bCs w:val="0"/>
          <w:spacing w:val="-1"/>
          <w:position w:val="16"/>
          <w:sz w:val="24"/>
          <w:szCs w:val="24"/>
        </w:rPr>
        <w:t>（五）关联交易的目的及对</w:t>
      </w:r>
      <w:r>
        <w:rPr>
          <w:rFonts w:hint="eastAsia" w:ascii="仿宋" w:hAnsi="仿宋" w:eastAsia="仿宋" w:cs="仿宋"/>
          <w:b w:val="0"/>
          <w:bCs w:val="0"/>
          <w:spacing w:val="-1"/>
          <w:position w:val="16"/>
          <w:sz w:val="24"/>
          <w:szCs w:val="24"/>
          <w:lang w:eastAsia="zh-CN"/>
        </w:rPr>
        <w:t>基金会</w:t>
      </w:r>
      <w:r>
        <w:rPr>
          <w:rFonts w:hint="eastAsia" w:ascii="仿宋" w:hAnsi="仿宋" w:eastAsia="仿宋" w:cs="仿宋"/>
          <w:b w:val="0"/>
          <w:bCs w:val="0"/>
          <w:spacing w:val="-1"/>
          <w:position w:val="16"/>
          <w:sz w:val="24"/>
          <w:szCs w:val="24"/>
        </w:rPr>
        <w:t>的影响。</w:t>
      </w:r>
    </w:p>
    <w:p w14:paraId="224B25FB">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textAlignment w:val="baseline"/>
        <w:rPr>
          <w:rFonts w:hint="eastAsia" w:ascii="仿宋" w:hAnsi="仿宋" w:eastAsia="仿宋" w:cs="仿宋"/>
          <w:sz w:val="24"/>
          <w:szCs w:val="24"/>
        </w:rPr>
      </w:pPr>
      <w:r>
        <w:rPr>
          <w:rFonts w:hint="eastAsia" w:ascii="仿宋" w:hAnsi="仿宋" w:eastAsia="仿宋" w:cs="仿宋"/>
          <w:b/>
          <w:bCs/>
          <w:sz w:val="24"/>
          <w:szCs w:val="24"/>
        </w:rPr>
        <w:t>第十</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sz w:val="24"/>
          <w:szCs w:val="24"/>
          <w:lang w:eastAsia="zh-CN"/>
        </w:rPr>
        <w:t>基金会</w:t>
      </w:r>
      <w:r>
        <w:rPr>
          <w:rFonts w:hint="eastAsia" w:ascii="仿宋" w:hAnsi="仿宋" w:eastAsia="仿宋" w:cs="仿宋"/>
          <w:sz w:val="24"/>
          <w:szCs w:val="24"/>
        </w:rPr>
        <w:t>应在年度报告重要事项中披露报告期内发生的重大关联交易事项。</w:t>
      </w:r>
    </w:p>
    <w:p w14:paraId="358BB4B0">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textAlignment w:val="baseline"/>
        <w:rPr>
          <w:rFonts w:hint="eastAsia" w:ascii="仿宋" w:hAnsi="仿宋" w:eastAsia="仿宋" w:cs="仿宋"/>
          <w:sz w:val="24"/>
          <w:szCs w:val="24"/>
        </w:rPr>
      </w:pPr>
      <w:r>
        <w:rPr>
          <w:rFonts w:hint="eastAsia" w:ascii="仿宋" w:hAnsi="仿宋" w:eastAsia="仿宋" w:cs="仿宋"/>
          <w:b/>
          <w:bCs/>
          <w:sz w:val="24"/>
          <w:szCs w:val="24"/>
        </w:rPr>
        <w:t>第十</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sz w:val="24"/>
          <w:szCs w:val="24"/>
          <w:lang w:eastAsia="zh-CN"/>
        </w:rPr>
        <w:t>基金会</w:t>
      </w:r>
      <w:r>
        <w:rPr>
          <w:rFonts w:hint="eastAsia" w:ascii="仿宋" w:hAnsi="仿宋" w:eastAsia="仿宋" w:cs="仿宋"/>
          <w:sz w:val="24"/>
          <w:szCs w:val="24"/>
        </w:rPr>
        <w:t>披露日常经营相关的关联交易。</w:t>
      </w:r>
    </w:p>
    <w:p w14:paraId="28EE1475">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3"/>
        <w:textAlignment w:val="baseline"/>
        <w:rPr>
          <w:rFonts w:hint="eastAsia" w:ascii="仿宋" w:hAnsi="仿宋" w:eastAsia="仿宋" w:cs="仿宋"/>
          <w:sz w:val="24"/>
          <w:szCs w:val="24"/>
        </w:rPr>
      </w:pPr>
    </w:p>
    <w:p w14:paraId="29E7D58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sz w:val="24"/>
          <w:szCs w:val="24"/>
        </w:rPr>
      </w:pPr>
      <w:r>
        <w:rPr>
          <w:rFonts w:hint="eastAsia" w:ascii="仿宋" w:hAnsi="仿宋" w:eastAsia="仿宋" w:cs="仿宋"/>
          <w:b/>
          <w:bCs/>
          <w:spacing w:val="-10"/>
          <w:sz w:val="24"/>
          <w:szCs w:val="24"/>
        </w:rPr>
        <w:t>第</w:t>
      </w:r>
      <w:r>
        <w:rPr>
          <w:rFonts w:hint="eastAsia" w:ascii="仿宋" w:hAnsi="仿宋" w:eastAsia="仿宋" w:cs="仿宋"/>
          <w:b/>
          <w:bCs/>
          <w:spacing w:val="-10"/>
          <w:sz w:val="24"/>
          <w:szCs w:val="24"/>
          <w:lang w:val="en-US" w:eastAsia="zh-CN"/>
        </w:rPr>
        <w:t>六</w:t>
      </w:r>
      <w:r>
        <w:rPr>
          <w:rFonts w:hint="eastAsia" w:ascii="仿宋" w:hAnsi="仿宋" w:eastAsia="仿宋" w:cs="仿宋"/>
          <w:b/>
          <w:bCs/>
          <w:spacing w:val="-10"/>
          <w:sz w:val="24"/>
          <w:szCs w:val="24"/>
        </w:rPr>
        <w:t>章</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附则</w:t>
      </w:r>
    </w:p>
    <w:p w14:paraId="09F1E9C6">
      <w:pPr>
        <w:keepNext w:val="0"/>
        <w:keepLines w:val="0"/>
        <w:pageBreakBefore w:val="0"/>
        <w:widowControl/>
        <w:kinsoku w:val="0"/>
        <w:wordWrap/>
        <w:overflowPunct/>
        <w:topLinePunct w:val="0"/>
        <w:autoSpaceDE w:val="0"/>
        <w:autoSpaceDN w:val="0"/>
        <w:bidi w:val="0"/>
        <w:adjustRightInd w:val="0"/>
        <w:snapToGrid w:val="0"/>
        <w:spacing w:before="181" w:line="560" w:lineRule="exact"/>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第十</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eastAsia="zh-CN"/>
        </w:rPr>
        <w:t>本</w:t>
      </w:r>
      <w:r>
        <w:rPr>
          <w:rFonts w:hint="eastAsia" w:ascii="仿宋" w:hAnsi="仿宋" w:eastAsia="仿宋" w:cs="仿宋"/>
          <w:b w:val="0"/>
          <w:bCs w:val="0"/>
          <w:sz w:val="24"/>
          <w:szCs w:val="24"/>
          <w:lang w:val="en-US" w:eastAsia="zh-CN"/>
        </w:rPr>
        <w:t>制度于</w:t>
      </w:r>
      <w:r>
        <w:rPr>
          <w:rFonts w:hint="eastAsia" w:ascii="仿宋" w:hAnsi="仿宋" w:eastAsia="仿宋" w:cs="仿宋"/>
          <w:b w:val="0"/>
          <w:bCs w:val="0"/>
          <w:sz w:val="24"/>
          <w:szCs w:val="24"/>
          <w:lang w:eastAsia="zh-CN"/>
        </w:rPr>
        <w:t>第</w:t>
      </w:r>
      <w:r>
        <w:rPr>
          <w:rFonts w:hint="eastAsia" w:ascii="仿宋" w:hAnsi="仿宋" w:eastAsia="仿宋" w:cs="仿宋"/>
          <w:b w:val="0"/>
          <w:bCs w:val="0"/>
          <w:sz w:val="24"/>
          <w:szCs w:val="24"/>
          <w:lang w:val="en-US" w:eastAsia="zh-CN"/>
        </w:rPr>
        <w:t>二</w:t>
      </w:r>
      <w:r>
        <w:rPr>
          <w:rFonts w:hint="eastAsia" w:ascii="仿宋" w:hAnsi="仿宋" w:eastAsia="仿宋" w:cs="仿宋"/>
          <w:b w:val="0"/>
          <w:bCs w:val="0"/>
          <w:sz w:val="24"/>
          <w:szCs w:val="24"/>
          <w:lang w:eastAsia="zh-CN"/>
        </w:rPr>
        <w:t>届第</w:t>
      </w:r>
      <w:r>
        <w:rPr>
          <w:rFonts w:hint="eastAsia" w:ascii="仿宋" w:hAnsi="仿宋" w:eastAsia="仿宋" w:cs="仿宋"/>
          <w:b w:val="0"/>
          <w:bCs w:val="0"/>
          <w:sz w:val="24"/>
          <w:szCs w:val="24"/>
          <w:lang w:val="en-US" w:eastAsia="zh-CN"/>
        </w:rPr>
        <w:t>8</w:t>
      </w:r>
      <w:bookmarkStart w:id="0" w:name="_GoBack"/>
      <w:bookmarkEnd w:id="0"/>
      <w:r>
        <w:rPr>
          <w:rFonts w:hint="eastAsia" w:ascii="仿宋" w:hAnsi="仿宋" w:eastAsia="仿宋" w:cs="仿宋"/>
          <w:b w:val="0"/>
          <w:bCs w:val="0"/>
          <w:sz w:val="24"/>
          <w:szCs w:val="24"/>
          <w:lang w:eastAsia="zh-CN"/>
        </w:rPr>
        <w:t>次理事会审议通过，自通过之日起施行。</w:t>
      </w:r>
    </w:p>
    <w:p w14:paraId="4CD669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030B3"/>
    <w:multiLevelType w:val="singleLevel"/>
    <w:tmpl w:val="D11030B3"/>
    <w:lvl w:ilvl="0" w:tentative="0">
      <w:start w:val="1"/>
      <w:numFmt w:val="chineseCounting"/>
      <w:suff w:val="space"/>
      <w:lvlText w:val="第%1条"/>
      <w:lvlJc w:val="left"/>
      <w:rPr>
        <w:rFonts w:hint="eastAsia"/>
        <w:b/>
        <w:bCs/>
      </w:rPr>
    </w:lvl>
  </w:abstractNum>
  <w:abstractNum w:abstractNumId="1">
    <w:nsid w:val="121DF1E9"/>
    <w:multiLevelType w:val="singleLevel"/>
    <w:tmpl w:val="121DF1E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MTk2MDRkZTgxMzNkMTgyMjI1MWJjNTE4MjFkZmUifQ=="/>
  </w:docVars>
  <w:rsids>
    <w:rsidRoot w:val="2B114460"/>
    <w:rsid w:val="13183E39"/>
    <w:rsid w:val="16BD4E10"/>
    <w:rsid w:val="2B114460"/>
    <w:rsid w:val="2C433421"/>
    <w:rsid w:val="5DA7158B"/>
    <w:rsid w:val="7472604B"/>
    <w:rsid w:val="7A97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1848</Words>
  <Characters>1867</Characters>
  <Lines>0</Lines>
  <Paragraphs>0</Paragraphs>
  <TotalTime>3</TotalTime>
  <ScaleCrop>false</ScaleCrop>
  <LinksUpToDate>false</LinksUpToDate>
  <CharactersWithSpaces>1899</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2024-07-18T14:37:00Z</dcterms:created>
  <dc:creator>一转身就是一辈子</dc:creator>
  <cp:lastModifiedBy>王炸啊</cp:lastModifiedBy>
  <cp:lastPrinted>2025-07-10T16:11:00Z</cp:lastPrinted>
  <dcterms:modified xsi:type="dcterms:W3CDTF">2026-03-09T23:08:30Z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799A1C797F27406E6EE2AE69A3CB1428_43</vt:lpwstr>
  </property>
  <property fmtid="{D5CDD505-2E9C-101B-9397-08002B2CF9AE}" pid="4" name="KSOTemplateDocerSaveRecord">
    <vt:lpwstr>eyJoZGlkIjoiNTBjMTgwYWFhZjBhOGIyNmJlZjhkOWY1NGVmMDM3YjYiLCJ1c2VySWQiOiIxNzY0NDQ0NTgwIn0=</vt:lpwstr>
  </property>
</Properties>
</file>